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211A60"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DICIEMBRE</w:t>
      </w:r>
      <w:r w:rsidR="00BE3688" w:rsidRPr="0088062A">
        <w:rPr>
          <w:rFonts w:ascii="Arial" w:eastAsia="Times New Roman" w:hAnsi="Arial" w:cs="Arial"/>
          <w:b/>
          <w:sz w:val="32"/>
          <w:szCs w:val="24"/>
          <w:lang w:val="es-ES" w:eastAsia="es-ES"/>
        </w:rPr>
        <w:t xml:space="preserve"> </w:t>
      </w:r>
      <w:r w:rsidR="008A2F37" w:rsidRPr="0088062A">
        <w:rPr>
          <w:rFonts w:ascii="Arial" w:eastAsia="Times New Roman" w:hAnsi="Arial" w:cs="Arial"/>
          <w:b/>
          <w:sz w:val="32"/>
          <w:szCs w:val="24"/>
          <w:lang w:val="es-ES" w:eastAsia="es-ES"/>
        </w:rPr>
        <w:t>2018</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2643B7" w:rsidRPr="0088062A" w:rsidRDefault="002643B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BC27D8" w:rsidP="00BC27D8">
      <w:pPr>
        <w:spacing w:after="0" w:line="360" w:lineRule="auto"/>
        <w:jc w:val="center"/>
        <w:rPr>
          <w:rFonts w:ascii="Arial" w:eastAsia="Times New Roman" w:hAnsi="Arial" w:cs="Arial"/>
          <w:b/>
          <w:sz w:val="28"/>
          <w:szCs w:val="24"/>
          <w:lang w:val="es-ES" w:eastAsia="es-ES"/>
        </w:rPr>
      </w:pPr>
      <w:r>
        <w:rPr>
          <w:rFonts w:ascii="Arial" w:eastAsia="Times New Roman" w:hAnsi="Arial" w:cs="Arial"/>
          <w:b/>
          <w:sz w:val="28"/>
          <w:szCs w:val="24"/>
          <w:lang w:val="es-ES" w:eastAsia="es-ES"/>
        </w:rPr>
        <w:t>TRABAJO SOCIAL</w:t>
      </w: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8A2F37" w:rsidP="00622A21">
            <w:pPr>
              <w:spacing w:after="0" w:line="360" w:lineRule="auto"/>
              <w:rPr>
                <w:rFonts w:ascii="Arial" w:eastAsia="Times New Roman" w:hAnsi="Arial" w:cs="Arial"/>
                <w:sz w:val="24"/>
                <w:szCs w:val="24"/>
                <w:lang w:val="es-ES" w:eastAsia="es-ES"/>
              </w:rPr>
            </w:pP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211A60"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Diciembre </w:t>
            </w:r>
            <w:r w:rsidR="008A2F37" w:rsidRPr="0088062A">
              <w:rPr>
                <w:rFonts w:ascii="Arial" w:eastAsia="Times New Roman" w:hAnsi="Arial" w:cs="Arial"/>
                <w:sz w:val="24"/>
                <w:szCs w:val="24"/>
                <w:lang w:val="es-ES" w:eastAsia="es-ES"/>
              </w:rPr>
              <w:t>2018</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lastRenderedPageBreak/>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Este documento incluye información de carácter cualitativo y cuantitativo, donde se manifiestan las acciones de la ejecución y</w:t>
      </w:r>
      <w:r w:rsidR="00BC27D8">
        <w:rPr>
          <w:rFonts w:ascii="Arial" w:eastAsia="Times New Roman" w:hAnsi="Arial" w:cs="Arial"/>
          <w:sz w:val="24"/>
          <w:szCs w:val="24"/>
          <w:lang w:val="es-ES" w:eastAsia="es-ES"/>
        </w:rPr>
        <w:t xml:space="preserve"> los servicios brindados por la</w:t>
      </w:r>
      <w:r w:rsidRPr="0088062A">
        <w:rPr>
          <w:rFonts w:ascii="Arial" w:eastAsia="Times New Roman" w:hAnsi="Arial" w:cs="Arial"/>
          <w:sz w:val="24"/>
          <w:szCs w:val="24"/>
          <w:lang w:val="es-ES" w:eastAsia="es-ES"/>
        </w:rPr>
        <w:t xml:space="preserve"> </w:t>
      </w:r>
      <w:r w:rsidR="00BC27D8">
        <w:rPr>
          <w:rFonts w:ascii="Arial" w:eastAsia="Times New Roman" w:hAnsi="Arial" w:cs="Arial"/>
          <w:sz w:val="24"/>
          <w:szCs w:val="24"/>
          <w:lang w:val="es-ES" w:eastAsia="es-ES"/>
        </w:rPr>
        <w:t>profesionista</w:t>
      </w:r>
      <w:r w:rsidRPr="0088062A">
        <w:rPr>
          <w:rFonts w:ascii="Arial" w:eastAsia="Times New Roman" w:hAnsi="Arial" w:cs="Arial"/>
          <w:sz w:val="24"/>
          <w:szCs w:val="24"/>
          <w:lang w:val="es-ES" w:eastAsia="es-ES"/>
        </w:rPr>
        <w:t xml:space="preserve"> del Centro para el Desarrollo de las Mujeres (CDM) de San Martin de Hidalgo en el </w:t>
      </w:r>
      <w:r w:rsidR="00104C64">
        <w:rPr>
          <w:rFonts w:ascii="Arial" w:eastAsia="Times New Roman" w:hAnsi="Arial" w:cs="Arial"/>
          <w:sz w:val="24"/>
          <w:szCs w:val="24"/>
          <w:lang w:val="es-ES" w:eastAsia="es-ES"/>
        </w:rPr>
        <w:t>mes de diciembre</w:t>
      </w:r>
      <w:r w:rsidRPr="0088062A">
        <w:rPr>
          <w:rFonts w:ascii="Arial" w:eastAsia="Times New Roman" w:hAnsi="Arial" w:cs="Arial"/>
          <w:sz w:val="24"/>
          <w:szCs w:val="24"/>
          <w:lang w:val="es-ES" w:eastAsia="es-ES"/>
        </w:rPr>
        <w:t>.</w:t>
      </w:r>
    </w:p>
    <w:p w:rsidR="00C778DA" w:rsidRPr="0088062A" w:rsidRDefault="00C778DA" w:rsidP="008A2F37">
      <w:pPr>
        <w:shd w:val="clear" w:color="auto" w:fill="FFFFFF"/>
        <w:spacing w:after="324" w:line="360" w:lineRule="auto"/>
        <w:ind w:firstLine="708"/>
        <w:jc w:val="both"/>
        <w:rPr>
          <w:rFonts w:ascii="Arial" w:eastAsia="Times New Roman" w:hAnsi="Arial" w:cs="Arial"/>
          <w:sz w:val="24"/>
          <w:szCs w:val="24"/>
          <w:lang w:val="es-ES" w:eastAsia="es-ES"/>
        </w:rPr>
      </w:pPr>
    </w:p>
    <w:p w:rsidR="008A2F37" w:rsidRDefault="008A2F37" w:rsidP="00AF6314">
      <w:pPr>
        <w:spacing w:line="360" w:lineRule="auto"/>
        <w:rPr>
          <w:rFonts w:ascii="Arial" w:eastAsia="Times New Roman" w:hAnsi="Arial" w:cs="Arial"/>
          <w:b/>
          <w:i/>
          <w:sz w:val="24"/>
          <w:szCs w:val="24"/>
          <w:lang w:val="es-ES" w:eastAsia="es-ES"/>
        </w:rPr>
      </w:pPr>
      <w:r w:rsidRPr="007405B2">
        <w:rPr>
          <w:rFonts w:ascii="Arial" w:eastAsia="Times New Roman" w:hAnsi="Arial" w:cs="Arial"/>
          <w:b/>
          <w:i/>
          <w:sz w:val="24"/>
          <w:szCs w:val="24"/>
          <w:lang w:val="es-ES" w:eastAsia="es-ES"/>
        </w:rPr>
        <w:t>INFORME CUALITATIVO</w:t>
      </w:r>
    </w:p>
    <w:p w:rsidR="00326370" w:rsidRDefault="00326370" w:rsidP="00AF6314">
      <w:pPr>
        <w:spacing w:line="360" w:lineRule="auto"/>
        <w:rPr>
          <w:rFonts w:ascii="Arial" w:eastAsia="Times New Roman" w:hAnsi="Arial" w:cs="Arial"/>
          <w:b/>
          <w:i/>
          <w:sz w:val="24"/>
          <w:szCs w:val="24"/>
          <w:lang w:val="es-ES" w:eastAsia="es-ES"/>
        </w:rPr>
      </w:pPr>
    </w:p>
    <w:p w:rsidR="00FB0A89" w:rsidRDefault="00BC27D8" w:rsidP="004A1F8E">
      <w:pPr>
        <w:shd w:val="clear" w:color="auto" w:fill="FFFFFF"/>
        <w:spacing w:line="360" w:lineRule="auto"/>
        <w:ind w:firstLine="708"/>
        <w:jc w:val="both"/>
        <w:rPr>
          <w:rFonts w:ascii="Arial" w:eastAsia="Times New Roman" w:hAnsi="Arial" w:cs="Arial"/>
          <w:color w:val="000000" w:themeColor="text1"/>
          <w:sz w:val="24"/>
          <w:szCs w:val="24"/>
          <w:lang w:val="es-ES" w:eastAsia="es-ES"/>
        </w:rPr>
      </w:pPr>
      <w:r w:rsidRPr="00BC27D8">
        <w:rPr>
          <w:rFonts w:ascii="Arial" w:eastAsia="Times New Roman" w:hAnsi="Arial" w:cs="Arial"/>
          <w:color w:val="000000" w:themeColor="text1"/>
          <w:sz w:val="24"/>
          <w:szCs w:val="24"/>
          <w:lang w:val="es-ES" w:eastAsia="es-ES"/>
        </w:rPr>
        <w:t xml:space="preserve">El equipo </w:t>
      </w:r>
      <w:r>
        <w:rPr>
          <w:rFonts w:ascii="Arial" w:eastAsia="Times New Roman" w:hAnsi="Arial" w:cs="Arial"/>
          <w:color w:val="000000" w:themeColor="text1"/>
          <w:sz w:val="24"/>
          <w:szCs w:val="24"/>
          <w:lang w:val="es-ES" w:eastAsia="es-ES"/>
        </w:rPr>
        <w:t xml:space="preserve">de profesionistas </w:t>
      </w:r>
      <w:r w:rsidRPr="00BC27D8">
        <w:rPr>
          <w:rFonts w:ascii="Arial" w:eastAsia="Times New Roman" w:hAnsi="Arial" w:cs="Arial"/>
          <w:color w:val="000000" w:themeColor="text1"/>
          <w:sz w:val="24"/>
          <w:szCs w:val="24"/>
          <w:lang w:val="es-ES" w:eastAsia="es-ES"/>
        </w:rPr>
        <w:t xml:space="preserve">del CDM </w:t>
      </w:r>
      <w:r>
        <w:rPr>
          <w:rFonts w:ascii="Arial" w:eastAsia="Times New Roman" w:hAnsi="Arial" w:cs="Arial"/>
          <w:color w:val="000000" w:themeColor="text1"/>
          <w:sz w:val="24"/>
          <w:szCs w:val="24"/>
          <w:lang w:val="es-ES" w:eastAsia="es-ES"/>
        </w:rPr>
        <w:t xml:space="preserve">y </w:t>
      </w:r>
      <w:r w:rsidRPr="00BC27D8">
        <w:rPr>
          <w:rFonts w:ascii="Arial" w:eastAsia="Times New Roman" w:hAnsi="Arial" w:cs="Arial"/>
          <w:color w:val="000000" w:themeColor="text1"/>
          <w:sz w:val="24"/>
          <w:szCs w:val="24"/>
          <w:lang w:val="es-ES" w:eastAsia="es-ES"/>
        </w:rPr>
        <w:t>la I</w:t>
      </w:r>
      <w:r>
        <w:rPr>
          <w:rFonts w:ascii="Arial" w:eastAsia="Times New Roman" w:hAnsi="Arial" w:cs="Arial"/>
          <w:color w:val="000000" w:themeColor="text1"/>
          <w:sz w:val="24"/>
          <w:szCs w:val="24"/>
          <w:lang w:val="es-ES" w:eastAsia="es-ES"/>
        </w:rPr>
        <w:t>M</w:t>
      </w:r>
      <w:r w:rsidRPr="00BC27D8">
        <w:rPr>
          <w:rFonts w:ascii="Arial" w:eastAsia="Times New Roman" w:hAnsi="Arial" w:cs="Arial"/>
          <w:color w:val="000000" w:themeColor="text1"/>
          <w:sz w:val="24"/>
          <w:szCs w:val="24"/>
          <w:lang w:val="es-ES" w:eastAsia="es-ES"/>
        </w:rPr>
        <w:t>M</w:t>
      </w:r>
      <w:r w:rsidR="00615730">
        <w:rPr>
          <w:rFonts w:ascii="Arial" w:eastAsia="Times New Roman" w:hAnsi="Arial" w:cs="Arial"/>
          <w:color w:val="000000" w:themeColor="text1"/>
          <w:sz w:val="24"/>
          <w:szCs w:val="24"/>
          <w:lang w:val="es-ES" w:eastAsia="es-ES"/>
        </w:rPr>
        <w:t xml:space="preserve"> realizó una serie de eventos conmemorativos de acuerdo al día </w:t>
      </w:r>
      <w:r w:rsidRPr="00BC27D8">
        <w:rPr>
          <w:rFonts w:ascii="Arial" w:eastAsia="Times New Roman" w:hAnsi="Arial" w:cs="Arial"/>
          <w:color w:val="000000" w:themeColor="text1"/>
          <w:sz w:val="24"/>
          <w:szCs w:val="24"/>
          <w:lang w:val="es-ES" w:eastAsia="es-ES"/>
        </w:rPr>
        <w:t xml:space="preserve"> </w:t>
      </w:r>
      <w:r w:rsidR="00615730">
        <w:rPr>
          <w:rFonts w:ascii="Arial" w:eastAsia="Times New Roman" w:hAnsi="Arial" w:cs="Arial"/>
          <w:color w:val="000000" w:themeColor="text1"/>
          <w:sz w:val="24"/>
          <w:szCs w:val="24"/>
          <w:lang w:val="es-ES" w:eastAsia="es-ES"/>
        </w:rPr>
        <w:t>25 de noviembre “D</w:t>
      </w:r>
      <w:r w:rsidRPr="00BC27D8">
        <w:rPr>
          <w:rFonts w:ascii="Arial" w:eastAsia="Times New Roman" w:hAnsi="Arial" w:cs="Arial"/>
          <w:color w:val="000000" w:themeColor="text1"/>
          <w:sz w:val="24"/>
          <w:szCs w:val="24"/>
          <w:lang w:val="es-ES" w:eastAsia="es-ES"/>
        </w:rPr>
        <w:t>ía internacional de la eliminación de</w:t>
      </w:r>
      <w:r w:rsidR="00FB0A89">
        <w:rPr>
          <w:rFonts w:ascii="Arial" w:eastAsia="Times New Roman" w:hAnsi="Arial" w:cs="Arial"/>
          <w:color w:val="000000" w:themeColor="text1"/>
          <w:sz w:val="24"/>
          <w:szCs w:val="24"/>
          <w:lang w:val="es-ES" w:eastAsia="es-ES"/>
        </w:rPr>
        <w:t xml:space="preserve"> la violencia contra la mujer”</w:t>
      </w:r>
    </w:p>
    <w:p w:rsidR="004A1F8E" w:rsidRPr="004A1F8E" w:rsidRDefault="00615730" w:rsidP="004A1F8E">
      <w:pPr>
        <w:shd w:val="clear" w:color="auto" w:fill="FFFFFF"/>
        <w:spacing w:line="360" w:lineRule="auto"/>
        <w:ind w:firstLine="708"/>
        <w:jc w:val="both"/>
        <w:rPr>
          <w:rFonts w:ascii="Arial" w:eastAsia="Times New Roman" w:hAnsi="Arial" w:cs="Arial"/>
          <w:color w:val="000000" w:themeColor="text1"/>
          <w:sz w:val="24"/>
          <w:szCs w:val="24"/>
          <w:lang w:val="es-ES" w:eastAsia="es-ES"/>
        </w:rPr>
      </w:pPr>
      <w:r>
        <w:rPr>
          <w:rFonts w:ascii="Arial" w:eastAsia="Times New Roman" w:hAnsi="Arial" w:cs="Arial"/>
          <w:color w:val="000000" w:themeColor="text1"/>
          <w:sz w:val="24"/>
          <w:szCs w:val="24"/>
          <w:lang w:val="es-ES" w:eastAsia="es-ES"/>
        </w:rPr>
        <w:t xml:space="preserve">El </w:t>
      </w:r>
      <w:r w:rsidR="007D7962">
        <w:rPr>
          <w:rFonts w:ascii="Arial" w:eastAsia="Times New Roman" w:hAnsi="Arial" w:cs="Arial"/>
          <w:color w:val="000000" w:themeColor="text1"/>
          <w:sz w:val="24"/>
          <w:szCs w:val="24"/>
          <w:lang w:val="es-ES" w:eastAsia="es-ES"/>
        </w:rPr>
        <w:t>evento dio inicio con una marcha por las calles principales y más transitadas de la cabecera municipal, en ella se contó con la asistencia de varias áreas correspondientes al H. Ayuntamiento incluidos el presidente municipal y su equipo de regidoras y regidores, así mismo la participación de algunas instituciones educativas, todas las dependencias asistentes portaron carteles con imágenes y frases alusivas en contra de la violencia contra las mujeres y globos de colores morado y blanco</w:t>
      </w:r>
      <w:r w:rsidR="000236E2">
        <w:rPr>
          <w:rFonts w:ascii="Arial" w:eastAsia="Times New Roman" w:hAnsi="Arial" w:cs="Arial"/>
          <w:color w:val="000000" w:themeColor="text1"/>
          <w:sz w:val="24"/>
          <w:szCs w:val="24"/>
          <w:lang w:val="es-ES" w:eastAsia="es-ES"/>
        </w:rPr>
        <w:t xml:space="preserve">, se dio término a la marcha en la plaza principal y posteriormente se otorgó un mensaje del presidente municipal de acuerdo al día, y de igual manera </w:t>
      </w:r>
      <w:r w:rsidR="00803B5F">
        <w:rPr>
          <w:rFonts w:ascii="Arial" w:eastAsia="Times New Roman" w:hAnsi="Arial" w:cs="Arial"/>
          <w:color w:val="000000" w:themeColor="text1"/>
          <w:sz w:val="24"/>
          <w:szCs w:val="24"/>
          <w:lang w:val="es-ES" w:eastAsia="es-ES"/>
        </w:rPr>
        <w:t>unas palabras brindadas por la titular de la IMM, ofreciendo los agradecimientos por la participación de las y los asistentes</w:t>
      </w:r>
      <w:r w:rsidR="00F00447">
        <w:rPr>
          <w:rFonts w:ascii="Arial" w:eastAsia="Times New Roman" w:hAnsi="Arial" w:cs="Arial"/>
          <w:color w:val="000000" w:themeColor="text1"/>
          <w:sz w:val="24"/>
          <w:szCs w:val="24"/>
          <w:lang w:val="es-ES" w:eastAsia="es-ES"/>
        </w:rPr>
        <w:t xml:space="preserve">. Para dar continuidad con otra de las actividades programadas se instaló un módulo de atención </w:t>
      </w:r>
      <w:r w:rsidR="00BC27D8" w:rsidRPr="00BC27D8">
        <w:rPr>
          <w:rFonts w:ascii="Arial" w:eastAsia="Times New Roman" w:hAnsi="Arial" w:cs="Arial"/>
          <w:color w:val="000000" w:themeColor="text1"/>
          <w:sz w:val="24"/>
          <w:szCs w:val="24"/>
          <w:lang w:val="es-ES" w:eastAsia="es-ES"/>
        </w:rPr>
        <w:t>ubi</w:t>
      </w:r>
      <w:r w:rsidR="00F00447">
        <w:rPr>
          <w:rFonts w:ascii="Arial" w:eastAsia="Times New Roman" w:hAnsi="Arial" w:cs="Arial"/>
          <w:color w:val="000000" w:themeColor="text1"/>
          <w:sz w:val="24"/>
          <w:szCs w:val="24"/>
          <w:lang w:val="es-ES" w:eastAsia="es-ES"/>
        </w:rPr>
        <w:t>cado afuera de las inmediaciones</w:t>
      </w:r>
      <w:r w:rsidR="00BC27D8" w:rsidRPr="00BC27D8">
        <w:rPr>
          <w:rFonts w:ascii="Arial" w:eastAsia="Times New Roman" w:hAnsi="Arial" w:cs="Arial"/>
          <w:color w:val="000000" w:themeColor="text1"/>
          <w:sz w:val="24"/>
          <w:szCs w:val="24"/>
          <w:lang w:val="es-ES" w:eastAsia="es-ES"/>
        </w:rPr>
        <w:t xml:space="preserve"> del H. Ayuntamiento de San Martín de Hidalgo, </w:t>
      </w:r>
      <w:r w:rsidR="00F00447">
        <w:rPr>
          <w:rFonts w:ascii="Arial" w:eastAsia="Times New Roman" w:hAnsi="Arial" w:cs="Arial"/>
          <w:color w:val="000000" w:themeColor="text1"/>
          <w:sz w:val="24"/>
          <w:szCs w:val="24"/>
          <w:lang w:val="es-ES" w:eastAsia="es-ES"/>
        </w:rPr>
        <w:t>se repartieron folletos</w:t>
      </w:r>
      <w:r w:rsidR="00BC27D8" w:rsidRPr="00BC27D8">
        <w:rPr>
          <w:rFonts w:ascii="Arial" w:eastAsia="Times New Roman" w:hAnsi="Arial" w:cs="Arial"/>
          <w:color w:val="000000" w:themeColor="text1"/>
          <w:sz w:val="24"/>
          <w:szCs w:val="24"/>
          <w:lang w:val="es-ES" w:eastAsia="es-ES"/>
        </w:rPr>
        <w:t xml:space="preserve"> con temas correspondientes a la eliminación de la violencia, los folletos fueron otorgados al CDM  por parte del Instituto Jalisciense de las Mujeres, y se aprovechó el espacio para promocionar los servicios que el CDM ofrece a la población. Se obtuvo buena respuesta por parte de las personas pues se ac</w:t>
      </w:r>
      <w:r w:rsidR="00F00447">
        <w:rPr>
          <w:rFonts w:ascii="Arial" w:eastAsia="Times New Roman" w:hAnsi="Arial" w:cs="Arial"/>
          <w:color w:val="000000" w:themeColor="text1"/>
          <w:sz w:val="24"/>
          <w:szCs w:val="24"/>
          <w:lang w:val="es-ES" w:eastAsia="es-ES"/>
        </w:rPr>
        <w:t>ercaban a informarse sobre el mó</w:t>
      </w:r>
      <w:r w:rsidR="00BC27D8" w:rsidRPr="00BC27D8">
        <w:rPr>
          <w:rFonts w:ascii="Arial" w:eastAsia="Times New Roman" w:hAnsi="Arial" w:cs="Arial"/>
          <w:color w:val="000000" w:themeColor="text1"/>
          <w:sz w:val="24"/>
          <w:szCs w:val="24"/>
          <w:lang w:val="es-ES" w:eastAsia="es-ES"/>
        </w:rPr>
        <w:t>dulo.</w:t>
      </w:r>
    </w:p>
    <w:p w:rsidR="00F00447" w:rsidRPr="00F00447" w:rsidRDefault="004A1F8E" w:rsidP="00F00447">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ab/>
      </w:r>
      <w:r w:rsidR="00F00447" w:rsidRPr="00B34480">
        <w:rPr>
          <w:rFonts w:ascii="Arial" w:eastAsia="Times New Roman" w:hAnsi="Arial" w:cs="Arial"/>
          <w:sz w:val="24"/>
          <w:szCs w:val="24"/>
          <w:lang w:val="es-ES" w:eastAsia="es-ES"/>
        </w:rPr>
        <w:t xml:space="preserve">En el mes </w:t>
      </w:r>
      <w:r w:rsidR="00F00447">
        <w:rPr>
          <w:rFonts w:ascii="Arial" w:eastAsia="Times New Roman" w:hAnsi="Arial" w:cs="Arial"/>
          <w:sz w:val="24"/>
          <w:szCs w:val="24"/>
          <w:lang w:val="es-ES" w:eastAsia="es-ES"/>
        </w:rPr>
        <w:t>de diciembre el área de Trabajo Social brindó a la población sanmartinense seis</w:t>
      </w:r>
      <w:r w:rsidR="00F00447" w:rsidRPr="00B34480">
        <w:rPr>
          <w:rFonts w:ascii="Arial" w:eastAsia="Times New Roman" w:hAnsi="Arial" w:cs="Arial"/>
          <w:sz w:val="24"/>
          <w:szCs w:val="24"/>
          <w:lang w:val="es-ES" w:eastAsia="es-ES"/>
        </w:rPr>
        <w:t xml:space="preserve"> atenciones de nu</w:t>
      </w:r>
      <w:r w:rsidR="00F00447">
        <w:rPr>
          <w:rFonts w:ascii="Arial" w:eastAsia="Times New Roman" w:hAnsi="Arial" w:cs="Arial"/>
          <w:sz w:val="24"/>
          <w:szCs w:val="24"/>
          <w:lang w:val="es-ES" w:eastAsia="es-ES"/>
        </w:rPr>
        <w:t>evo ingreso, de las cuales fueron</w:t>
      </w:r>
      <w:r w:rsidR="00F00447" w:rsidRPr="00B34480">
        <w:rPr>
          <w:rFonts w:ascii="Arial" w:eastAsia="Times New Roman" w:hAnsi="Arial" w:cs="Arial"/>
          <w:sz w:val="24"/>
          <w:szCs w:val="24"/>
          <w:lang w:val="es-ES" w:eastAsia="es-ES"/>
        </w:rPr>
        <w:t xml:space="preserve"> </w:t>
      </w:r>
      <w:r w:rsidR="00F00447">
        <w:rPr>
          <w:rFonts w:ascii="Arial" w:eastAsia="Times New Roman" w:hAnsi="Arial" w:cs="Arial"/>
          <w:sz w:val="24"/>
          <w:szCs w:val="24"/>
          <w:lang w:val="es-ES" w:eastAsia="es-ES"/>
        </w:rPr>
        <w:t xml:space="preserve">dirigidas a cinco </w:t>
      </w:r>
      <w:r w:rsidR="00F00447" w:rsidRPr="00B34480">
        <w:rPr>
          <w:rFonts w:ascii="Arial" w:eastAsia="Times New Roman" w:hAnsi="Arial" w:cs="Arial"/>
          <w:sz w:val="24"/>
          <w:szCs w:val="24"/>
          <w:lang w:val="es-ES" w:eastAsia="es-ES"/>
        </w:rPr>
        <w:t>usuarias</w:t>
      </w:r>
      <w:r w:rsidR="00F00447">
        <w:rPr>
          <w:rFonts w:ascii="Arial" w:eastAsia="Times New Roman" w:hAnsi="Arial" w:cs="Arial"/>
          <w:sz w:val="24"/>
          <w:szCs w:val="24"/>
          <w:lang w:val="es-ES" w:eastAsia="es-ES"/>
        </w:rPr>
        <w:t xml:space="preserve"> y un usuario</w:t>
      </w:r>
      <w:r w:rsidR="00F00447" w:rsidRPr="00B34480">
        <w:rPr>
          <w:rFonts w:ascii="Arial" w:eastAsia="Times New Roman" w:hAnsi="Arial" w:cs="Arial"/>
          <w:sz w:val="24"/>
          <w:szCs w:val="24"/>
          <w:lang w:val="es-ES" w:eastAsia="es-ES"/>
        </w:rPr>
        <w:t xml:space="preserve">, cabe mencionar que el mayor grado de estudios </w:t>
      </w:r>
      <w:r w:rsidR="00F00447">
        <w:rPr>
          <w:rFonts w:ascii="Arial" w:eastAsia="Times New Roman" w:hAnsi="Arial" w:cs="Arial"/>
          <w:sz w:val="24"/>
          <w:szCs w:val="24"/>
          <w:lang w:val="es-ES" w:eastAsia="es-ES"/>
        </w:rPr>
        <w:t xml:space="preserve">que reportaron las atenciones brindadas fue de </w:t>
      </w:r>
      <w:r w:rsidR="00F00447" w:rsidRPr="00B34480">
        <w:rPr>
          <w:rFonts w:ascii="Arial" w:eastAsia="Times New Roman" w:hAnsi="Arial" w:cs="Arial"/>
          <w:sz w:val="24"/>
          <w:szCs w:val="24"/>
          <w:lang w:val="es-ES" w:eastAsia="es-ES"/>
        </w:rPr>
        <w:t xml:space="preserve">secundaria, como así mismo </w:t>
      </w:r>
      <w:r>
        <w:rPr>
          <w:rFonts w:ascii="Arial" w:eastAsia="Times New Roman" w:hAnsi="Arial" w:cs="Arial"/>
          <w:sz w:val="24"/>
          <w:szCs w:val="24"/>
          <w:lang w:val="es-ES" w:eastAsia="es-ES"/>
        </w:rPr>
        <w:t>empleadas y empleados</w:t>
      </w:r>
      <w:r w:rsidR="00F00447" w:rsidRPr="00B34480">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con el más alto índice de estado civil, casadas/os</w:t>
      </w:r>
      <w:r w:rsidR="00F00447" w:rsidRPr="00B34480">
        <w:rPr>
          <w:rFonts w:ascii="Arial" w:eastAsia="Times New Roman" w:hAnsi="Arial" w:cs="Arial"/>
          <w:sz w:val="24"/>
          <w:szCs w:val="24"/>
          <w:lang w:val="es-ES" w:eastAsia="es-ES"/>
        </w:rPr>
        <w:t>. El tipo de violenc</w:t>
      </w:r>
      <w:r>
        <w:rPr>
          <w:rFonts w:ascii="Arial" w:eastAsia="Times New Roman" w:hAnsi="Arial" w:cs="Arial"/>
          <w:sz w:val="24"/>
          <w:szCs w:val="24"/>
          <w:lang w:val="es-ES" w:eastAsia="es-ES"/>
        </w:rPr>
        <w:t>ia con mayor predominio</w:t>
      </w:r>
      <w:r w:rsidR="00F00447" w:rsidRPr="00B34480">
        <w:rPr>
          <w:rFonts w:ascii="Arial" w:eastAsia="Times New Roman" w:hAnsi="Arial" w:cs="Arial"/>
          <w:sz w:val="24"/>
          <w:szCs w:val="24"/>
          <w:lang w:val="es-ES" w:eastAsia="es-ES"/>
        </w:rPr>
        <w:t xml:space="preserve"> fue la violencia psicológica en su modalidad familiar. </w:t>
      </w:r>
    </w:p>
    <w:p w:rsidR="001643A4" w:rsidRDefault="009A5FC2"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4A1F8E">
        <w:rPr>
          <w:rFonts w:ascii="Arial" w:eastAsia="Times New Roman" w:hAnsi="Arial" w:cs="Arial"/>
          <w:sz w:val="24"/>
          <w:szCs w:val="24"/>
          <w:lang w:val="es-ES" w:eastAsia="es-ES"/>
        </w:rPr>
        <w:t xml:space="preserve">El </w:t>
      </w:r>
      <w:r w:rsidR="00CC6282">
        <w:rPr>
          <w:rFonts w:ascii="Arial" w:eastAsia="Times New Roman" w:hAnsi="Arial" w:cs="Arial"/>
          <w:sz w:val="24"/>
          <w:szCs w:val="24"/>
          <w:lang w:val="es-ES" w:eastAsia="es-ES"/>
        </w:rPr>
        <w:t>CDM</w:t>
      </w:r>
      <w:r w:rsidR="001E1283">
        <w:rPr>
          <w:rFonts w:ascii="Arial" w:eastAsia="Times New Roman" w:hAnsi="Arial" w:cs="Arial"/>
          <w:sz w:val="24"/>
          <w:szCs w:val="24"/>
          <w:lang w:val="es-ES" w:eastAsia="es-ES"/>
        </w:rPr>
        <w:t xml:space="preserve"> </w:t>
      </w:r>
      <w:r w:rsidR="004A1F8E">
        <w:rPr>
          <w:rFonts w:ascii="Arial" w:eastAsia="Times New Roman" w:hAnsi="Arial" w:cs="Arial"/>
          <w:sz w:val="24"/>
          <w:szCs w:val="24"/>
          <w:lang w:val="es-ES" w:eastAsia="es-ES"/>
        </w:rPr>
        <w:t>acudió al centro de salud de la cabecera municipal con el objetivo de agendar fechas próximas</w:t>
      </w:r>
      <w:r w:rsidR="005A6B3E">
        <w:rPr>
          <w:rFonts w:ascii="Arial" w:eastAsia="Times New Roman" w:hAnsi="Arial" w:cs="Arial"/>
          <w:sz w:val="24"/>
          <w:szCs w:val="24"/>
          <w:lang w:val="es-ES" w:eastAsia="es-ES"/>
        </w:rPr>
        <w:t xml:space="preserve"> </w:t>
      </w:r>
      <w:r w:rsidR="00207F30">
        <w:rPr>
          <w:rFonts w:ascii="Arial" w:eastAsia="Times New Roman" w:hAnsi="Arial" w:cs="Arial"/>
          <w:sz w:val="24"/>
          <w:szCs w:val="24"/>
          <w:lang w:val="es-ES" w:eastAsia="es-ES"/>
        </w:rPr>
        <w:t>para</w:t>
      </w:r>
      <w:r w:rsidR="005A6B3E">
        <w:rPr>
          <w:rFonts w:ascii="Arial" w:eastAsia="Times New Roman" w:hAnsi="Arial" w:cs="Arial"/>
          <w:sz w:val="24"/>
          <w:szCs w:val="24"/>
          <w:lang w:val="es-ES" w:eastAsia="es-ES"/>
        </w:rPr>
        <w:t xml:space="preserve"> la impartición de talleres consecuentes a los temas </w:t>
      </w:r>
      <w:r w:rsidR="004A1F8E">
        <w:rPr>
          <w:rFonts w:ascii="Arial" w:eastAsia="Times New Roman" w:hAnsi="Arial" w:cs="Arial"/>
          <w:sz w:val="24"/>
          <w:szCs w:val="24"/>
          <w:lang w:val="es-ES" w:eastAsia="es-ES"/>
        </w:rPr>
        <w:t xml:space="preserve">ya </w:t>
      </w:r>
      <w:r w:rsidR="005A6B3E">
        <w:rPr>
          <w:rFonts w:ascii="Arial" w:eastAsia="Times New Roman" w:hAnsi="Arial" w:cs="Arial"/>
          <w:sz w:val="24"/>
          <w:szCs w:val="24"/>
          <w:lang w:val="es-ES" w:eastAsia="es-ES"/>
        </w:rPr>
        <w:t>impartidos anteriormente</w:t>
      </w:r>
      <w:r w:rsidR="004A1F8E">
        <w:rPr>
          <w:rFonts w:ascii="Arial" w:eastAsia="Times New Roman" w:hAnsi="Arial" w:cs="Arial"/>
          <w:sz w:val="24"/>
          <w:szCs w:val="24"/>
          <w:lang w:val="es-ES" w:eastAsia="es-ES"/>
        </w:rPr>
        <w:t>.</w:t>
      </w:r>
      <w:r w:rsidR="009C33AA">
        <w:rPr>
          <w:rFonts w:ascii="Arial" w:eastAsia="Times New Roman" w:hAnsi="Arial" w:cs="Arial"/>
          <w:sz w:val="24"/>
          <w:szCs w:val="24"/>
          <w:lang w:val="es-ES" w:eastAsia="es-ES"/>
        </w:rPr>
        <w:t xml:space="preserve"> </w:t>
      </w:r>
    </w:p>
    <w:p w:rsidR="004A1F8E" w:rsidRDefault="004A1F8E"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4A1F8E" w:rsidRDefault="004A1F8E"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4A1F8E" w:rsidRDefault="004A1F8E"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4A1F8E" w:rsidRDefault="004A1F8E"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4A1F8E" w:rsidRDefault="004A1F8E"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1643A4" w:rsidRPr="0088062A" w:rsidRDefault="001643A4"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CUANTITATIVO</w:t>
      </w: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4CD31A56" wp14:editId="59A62471">
            <wp:extent cx="5248275" cy="3076575"/>
            <wp:effectExtent l="0" t="0" r="9525" b="9525"/>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A1F8E" w:rsidRPr="00EA4ECD" w:rsidRDefault="004A1F8E" w:rsidP="004A1F8E">
      <w:pPr>
        <w:tabs>
          <w:tab w:val="left" w:pos="0"/>
        </w:tabs>
        <w:spacing w:after="0" w:line="360" w:lineRule="auto"/>
        <w:jc w:val="both"/>
        <w:rPr>
          <w:rFonts w:ascii="Arial" w:eastAsia="Times New Roman" w:hAnsi="Arial" w:cs="Arial"/>
          <w:sz w:val="20"/>
          <w:szCs w:val="24"/>
          <w:lang w:val="es-ES" w:eastAsia="es-ES"/>
        </w:rPr>
      </w:pPr>
      <w:r w:rsidRPr="00EA4ECD">
        <w:rPr>
          <w:rFonts w:ascii="Arial" w:eastAsia="Times New Roman" w:hAnsi="Arial" w:cs="Arial"/>
          <w:sz w:val="20"/>
          <w:szCs w:val="24"/>
          <w:lang w:val="es-ES" w:eastAsia="es-ES"/>
        </w:rPr>
        <w:t>En la presente gráfica se hace una demostración acerca de las personas que</w:t>
      </w:r>
      <w:r>
        <w:rPr>
          <w:rFonts w:ascii="Arial" w:eastAsia="Times New Roman" w:hAnsi="Arial" w:cs="Arial"/>
          <w:sz w:val="20"/>
          <w:szCs w:val="24"/>
          <w:lang w:val="es-ES" w:eastAsia="es-ES"/>
        </w:rPr>
        <w:t xml:space="preserve"> acudieron a solicitar atención y que fueron atendidas por el área de Trabajo Social.</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55D0DCAA" wp14:editId="48AE48E3">
            <wp:extent cx="5153025" cy="2752725"/>
            <wp:effectExtent l="0" t="0" r="9525"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43A4" w:rsidRDefault="009068DA" w:rsidP="001643A4">
      <w:pPr>
        <w:tabs>
          <w:tab w:val="left" w:pos="0"/>
        </w:tabs>
        <w:spacing w:after="0" w:line="36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La demostración que se hace en la presente gráfica muestra las atenciones que acudieron al CDM de nuevo ingreso.</w:t>
      </w:r>
    </w:p>
    <w:p w:rsidR="009068DA" w:rsidRDefault="009068DA"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1355DABC" wp14:editId="5FB51B5D">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43A4"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afluencia</w:t>
      </w:r>
      <w:r w:rsidR="00B02560">
        <w:rPr>
          <w:rFonts w:ascii="Arial" w:eastAsia="Times New Roman" w:hAnsi="Arial" w:cs="Arial"/>
          <w:sz w:val="20"/>
          <w:szCs w:val="20"/>
          <w:lang w:val="es-ES" w:eastAsia="es-ES"/>
        </w:rPr>
        <w:t xml:space="preserve"> de las usuarias fue de 15 a 29</w:t>
      </w:r>
      <w:r w:rsidRPr="0088062A">
        <w:rPr>
          <w:rFonts w:ascii="Arial" w:eastAsia="Times New Roman" w:hAnsi="Arial" w:cs="Arial"/>
          <w:sz w:val="20"/>
          <w:szCs w:val="20"/>
          <w:lang w:val="es-ES" w:eastAsia="es-ES"/>
        </w:rPr>
        <w:t xml:space="preserve"> años.</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885007"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drawing>
          <wp:inline distT="0" distB="0" distL="0" distR="0" wp14:anchorId="41E79A0C" wp14:editId="6D0DA156">
            <wp:extent cx="5400040" cy="3161665"/>
            <wp:effectExtent l="0" t="0" r="10160" b="635"/>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43C7" w:rsidRPr="00885007" w:rsidRDefault="00885007" w:rsidP="00885007">
      <w:pPr>
        <w:tabs>
          <w:tab w:val="left" w:pos="1170"/>
        </w:tabs>
        <w:rPr>
          <w:rFonts w:ascii="Arial" w:eastAsia="Times New Roman" w:hAnsi="Arial" w:cs="Arial"/>
          <w:sz w:val="20"/>
          <w:szCs w:val="20"/>
          <w:lang w:val="es-ES" w:eastAsia="es-ES"/>
        </w:rPr>
      </w:pPr>
      <w:r>
        <w:rPr>
          <w:rFonts w:ascii="Arial" w:eastAsia="Times New Roman" w:hAnsi="Arial" w:cs="Arial"/>
          <w:sz w:val="20"/>
          <w:szCs w:val="20"/>
          <w:lang w:val="es-ES" w:eastAsia="es-ES"/>
        </w:rPr>
        <w:t>En la presente</w:t>
      </w:r>
      <w:r w:rsidRPr="0088062A">
        <w:rPr>
          <w:rFonts w:ascii="Arial" w:eastAsia="Times New Roman" w:hAnsi="Arial" w:cs="Arial"/>
          <w:sz w:val="20"/>
          <w:szCs w:val="20"/>
          <w:lang w:val="es-ES" w:eastAsia="es-ES"/>
        </w:rPr>
        <w:t xml:space="preserve"> gráfica </w:t>
      </w:r>
      <w:r>
        <w:rPr>
          <w:rFonts w:ascii="Arial" w:eastAsia="Times New Roman" w:hAnsi="Arial" w:cs="Arial"/>
          <w:sz w:val="20"/>
          <w:szCs w:val="20"/>
          <w:lang w:val="es-ES" w:eastAsia="es-ES"/>
        </w:rPr>
        <w:t>se puede apreciar los rangos de edades que presentaron los usuarios al acudir a solicitar atención al CDM.</w:t>
      </w:r>
    </w:p>
    <w:p w:rsidR="00A043C7"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3EF35E6C" wp14:editId="197A2A95">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dicha tabla se desglosan los nombres de la</w:t>
      </w:r>
      <w:r w:rsidR="00B1654F">
        <w:rPr>
          <w:rFonts w:ascii="Arial" w:eastAsia="Times New Roman" w:hAnsi="Arial" w:cs="Arial"/>
          <w:sz w:val="20"/>
          <w:szCs w:val="20"/>
          <w:lang w:val="es-ES" w:eastAsia="es-ES"/>
        </w:rPr>
        <w:t>s</w:t>
      </w:r>
      <w:r w:rsidRPr="0088062A">
        <w:rPr>
          <w:rFonts w:ascii="Arial" w:eastAsia="Times New Roman" w:hAnsi="Arial" w:cs="Arial"/>
          <w:sz w:val="20"/>
          <w:szCs w:val="20"/>
          <w:lang w:val="es-ES" w:eastAsia="es-ES"/>
        </w:rPr>
        <w:t xml:space="preserve"> comunidad</w:t>
      </w:r>
      <w:r w:rsidR="00B1654F">
        <w:rPr>
          <w:rFonts w:ascii="Arial" w:eastAsia="Times New Roman" w:hAnsi="Arial" w:cs="Arial"/>
          <w:sz w:val="20"/>
          <w:szCs w:val="20"/>
          <w:lang w:val="es-ES" w:eastAsia="es-ES"/>
        </w:rPr>
        <w:t>es</w:t>
      </w:r>
      <w:r w:rsidRPr="0088062A">
        <w:rPr>
          <w:rFonts w:ascii="Arial" w:eastAsia="Times New Roman" w:hAnsi="Arial" w:cs="Arial"/>
          <w:sz w:val="20"/>
          <w:szCs w:val="20"/>
          <w:lang w:val="es-ES" w:eastAsia="es-ES"/>
        </w:rPr>
        <w:t xml:space="preserve"> a la</w:t>
      </w:r>
      <w:r w:rsidR="009068DA">
        <w:rPr>
          <w:rFonts w:ascii="Arial" w:eastAsia="Times New Roman" w:hAnsi="Arial" w:cs="Arial"/>
          <w:sz w:val="20"/>
          <w:szCs w:val="20"/>
          <w:lang w:val="es-ES" w:eastAsia="es-ES"/>
        </w:rPr>
        <w:t>s</w:t>
      </w:r>
      <w:r w:rsidRPr="0088062A">
        <w:rPr>
          <w:rFonts w:ascii="Arial" w:eastAsia="Times New Roman" w:hAnsi="Arial" w:cs="Arial"/>
          <w:sz w:val="20"/>
          <w:szCs w:val="20"/>
          <w:lang w:val="es-ES" w:eastAsia="es-ES"/>
        </w:rPr>
        <w:t xml:space="preserve"> que pertenecen las usuarias y los</w:t>
      </w:r>
      <w:r w:rsidR="009068DA">
        <w:rPr>
          <w:rFonts w:ascii="Arial" w:eastAsia="Times New Roman" w:hAnsi="Arial" w:cs="Arial"/>
          <w:sz w:val="20"/>
          <w:szCs w:val="20"/>
          <w:lang w:val="es-ES" w:eastAsia="es-ES"/>
        </w:rPr>
        <w:t xml:space="preserve"> usuarios que acudieron al CDM.</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E50443" w:rsidRDefault="001643A4" w:rsidP="00E50443">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643A4" w:rsidRPr="00B1654F"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EC04555" wp14:editId="3130B85A">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88062A">
        <w:rPr>
          <w:rFonts w:ascii="Arial" w:eastAsia="Times New Roman" w:hAnsi="Arial" w:cs="Arial"/>
          <w:sz w:val="20"/>
          <w:szCs w:val="20"/>
          <w:lang w:val="es-ES" w:eastAsia="es-ES"/>
        </w:rPr>
        <w:t xml:space="preserve">En dicha tabla se manifiesta el grado de estudios que las usuarias y los usuarios reportaron en las hojas de atención.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351D32E2" wp14:editId="3C35C7F1">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gráfica se expresan las ocupaciones que reportaron las usuarias y los usuarios  al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76443919" wp14:editId="324F580A">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43A4" w:rsidRPr="0088062A" w:rsidRDefault="001643A4" w:rsidP="001643A4">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 y hombres que asistieron al CDM.</w:t>
      </w: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lastRenderedPageBreak/>
        <w:tab/>
      </w:r>
      <w:r w:rsidRPr="0088062A">
        <w:rPr>
          <w:rFonts w:ascii="Arial" w:eastAsia="Times New Roman" w:hAnsi="Arial" w:cs="Arial"/>
          <w:noProof/>
          <w:sz w:val="24"/>
          <w:szCs w:val="24"/>
          <w:lang w:eastAsia="es-MX"/>
        </w:rPr>
        <w:drawing>
          <wp:inline distT="0" distB="0" distL="0" distR="0" wp14:anchorId="28F13719" wp14:editId="48DB8E27">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643A4" w:rsidRPr="0088062A" w:rsidRDefault="001643A4" w:rsidP="001643A4">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29E9405E" wp14:editId="74571396">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643A4" w:rsidRPr="0088062A" w:rsidRDefault="001643A4" w:rsidP="001643A4">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1643A4" w:rsidRDefault="001643A4" w:rsidP="001643A4">
      <w:pPr>
        <w:shd w:val="clear" w:color="auto" w:fill="FFFFFF"/>
        <w:spacing w:after="324" w:line="360" w:lineRule="auto"/>
        <w:jc w:val="both"/>
        <w:rPr>
          <w:rFonts w:ascii="Arial" w:eastAsia="Times New Roman" w:hAnsi="Arial" w:cs="Arial"/>
          <w:bCs/>
          <w:color w:val="000000"/>
          <w:sz w:val="20"/>
          <w:szCs w:val="20"/>
          <w:lang w:val="es-ES" w:eastAsia="es-MX"/>
        </w:rPr>
      </w:pPr>
      <w:r w:rsidRPr="0088062A">
        <w:rPr>
          <w:rFonts w:ascii="Arial" w:eastAsia="Times New Roman" w:hAnsi="Arial" w:cs="Arial"/>
          <w:sz w:val="20"/>
          <w:szCs w:val="20"/>
          <w:lang w:val="es-ES" w:eastAsia="es-ES"/>
        </w:rPr>
        <w:t xml:space="preserve"> </w:t>
      </w:r>
    </w:p>
    <w:p w:rsidR="006B0A90" w:rsidRPr="00B1654F" w:rsidRDefault="006B0A90" w:rsidP="00B1654F">
      <w:pPr>
        <w:shd w:val="clear" w:color="auto" w:fill="FFFFFF"/>
        <w:tabs>
          <w:tab w:val="left" w:pos="750"/>
          <w:tab w:val="left" w:pos="3034"/>
        </w:tabs>
        <w:spacing w:after="324" w:line="360" w:lineRule="auto"/>
        <w:jc w:val="both"/>
        <w:rPr>
          <w:rFonts w:ascii="Arial" w:eastAsia="Times New Roman" w:hAnsi="Arial" w:cs="Arial"/>
          <w:color w:val="FF0000"/>
          <w:sz w:val="24"/>
          <w:szCs w:val="24"/>
          <w:lang w:val="es-ES" w:eastAsia="es-ES"/>
        </w:rPr>
      </w:pPr>
    </w:p>
    <w:p w:rsidR="005D7AC4" w:rsidRDefault="00B1654F" w:rsidP="008A2F37">
      <w:pPr>
        <w:spacing w:after="0" w:line="276" w:lineRule="auto"/>
        <w:jc w:val="both"/>
        <w:textAlignment w:val="baseline"/>
        <w:rPr>
          <w:rFonts w:ascii="Arial" w:eastAsia="Times New Roman" w:hAnsi="Arial" w:cs="Arial"/>
          <w:b/>
          <w:bCs/>
          <w:color w:val="000000"/>
          <w:sz w:val="24"/>
          <w:szCs w:val="24"/>
          <w:lang w:val="es-ES" w:eastAsia="es-MX"/>
        </w:rPr>
      </w:pPr>
      <w:r>
        <w:rPr>
          <w:noProof/>
          <w:lang w:eastAsia="es-MX"/>
        </w:rPr>
        <w:lastRenderedPageBreak/>
        <w:drawing>
          <wp:inline distT="0" distB="0" distL="0" distR="0" wp14:anchorId="31D3822B" wp14:editId="1A356AA3">
            <wp:extent cx="5400040" cy="3600027"/>
            <wp:effectExtent l="0" t="0" r="10160" b="63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1654F" w:rsidRDefault="00B1654F" w:rsidP="008A2F37">
      <w:pPr>
        <w:spacing w:after="0" w:line="276" w:lineRule="auto"/>
        <w:jc w:val="both"/>
        <w:textAlignment w:val="baseline"/>
        <w:rPr>
          <w:rFonts w:ascii="Arial" w:eastAsia="Times New Roman" w:hAnsi="Arial" w:cs="Arial"/>
          <w:b/>
          <w:bCs/>
          <w:color w:val="000000"/>
          <w:sz w:val="24"/>
          <w:szCs w:val="24"/>
          <w:lang w:val="es-ES" w:eastAsia="es-MX"/>
        </w:rPr>
      </w:pPr>
    </w:p>
    <w:p w:rsidR="00B1654F" w:rsidRDefault="00B1654F" w:rsidP="008A2F37">
      <w:pPr>
        <w:spacing w:after="0" w:line="276" w:lineRule="auto"/>
        <w:jc w:val="both"/>
        <w:textAlignment w:val="baseline"/>
        <w:rPr>
          <w:rFonts w:ascii="Arial" w:eastAsia="Times New Roman" w:hAnsi="Arial" w:cs="Arial"/>
          <w:sz w:val="20"/>
          <w:szCs w:val="24"/>
          <w:lang w:val="es-ES" w:eastAsia="es-MX"/>
        </w:rPr>
      </w:pPr>
      <w:r w:rsidRPr="00E81AE1">
        <w:rPr>
          <w:rFonts w:ascii="Arial" w:eastAsia="Times New Roman" w:hAnsi="Arial" w:cs="Arial"/>
          <w:sz w:val="20"/>
          <w:szCs w:val="24"/>
          <w:lang w:val="es-ES" w:eastAsia="es-MX"/>
        </w:rPr>
        <w:t>Aquí se muestra las canalizaciones que Trabajo Social derivó al área de Psicología y Jurídico de CDM San Martín de Hidalgo.</w:t>
      </w: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sz w:val="20"/>
          <w:szCs w:val="24"/>
          <w:lang w:val="es-ES" w:eastAsia="es-MX"/>
        </w:rPr>
      </w:pPr>
    </w:p>
    <w:p w:rsidR="0097306B" w:rsidRDefault="0097306B" w:rsidP="008A2F37">
      <w:pPr>
        <w:spacing w:after="0" w:line="276" w:lineRule="auto"/>
        <w:jc w:val="both"/>
        <w:textAlignment w:val="baseline"/>
        <w:rPr>
          <w:rFonts w:ascii="Arial" w:eastAsia="Times New Roman" w:hAnsi="Arial" w:cs="Arial"/>
          <w:b/>
          <w:bCs/>
          <w:color w:val="000000"/>
          <w:sz w:val="24"/>
          <w:szCs w:val="24"/>
          <w:lang w:val="es-ES" w:eastAsia="es-MX"/>
        </w:rPr>
      </w:pPr>
    </w:p>
    <w:p w:rsidR="00FB0A89" w:rsidRDefault="00FB0A89" w:rsidP="008A2F37">
      <w:pPr>
        <w:spacing w:after="0" w:line="276" w:lineRule="auto"/>
        <w:jc w:val="both"/>
        <w:textAlignment w:val="baseline"/>
        <w:rPr>
          <w:rFonts w:ascii="Arial" w:eastAsia="Times New Roman" w:hAnsi="Arial" w:cs="Arial"/>
          <w:b/>
          <w:bCs/>
          <w:color w:val="000000"/>
          <w:sz w:val="24"/>
          <w:szCs w:val="24"/>
          <w:lang w:val="es-ES" w:eastAsia="es-MX"/>
        </w:rPr>
      </w:pPr>
    </w:p>
    <w:p w:rsidR="00FB0A89" w:rsidRDefault="00FB0A89" w:rsidP="008A2F37">
      <w:pPr>
        <w:spacing w:after="0" w:line="276" w:lineRule="auto"/>
        <w:jc w:val="both"/>
        <w:textAlignment w:val="baseline"/>
        <w:rPr>
          <w:rFonts w:ascii="Arial" w:eastAsia="Times New Roman" w:hAnsi="Arial" w:cs="Arial"/>
          <w:b/>
          <w:bCs/>
          <w:color w:val="000000"/>
          <w:sz w:val="24"/>
          <w:szCs w:val="24"/>
          <w:lang w:val="es-ES" w:eastAsia="es-MX"/>
        </w:rPr>
      </w:pPr>
    </w:p>
    <w:p w:rsidR="00FB0A89" w:rsidRDefault="00FB0A89" w:rsidP="008A2F37">
      <w:pPr>
        <w:spacing w:after="0" w:line="276" w:lineRule="auto"/>
        <w:jc w:val="both"/>
        <w:textAlignment w:val="baseline"/>
        <w:rPr>
          <w:rFonts w:ascii="Arial" w:eastAsia="Times New Roman" w:hAnsi="Arial" w:cs="Arial"/>
          <w:b/>
          <w:bCs/>
          <w:color w:val="000000"/>
          <w:sz w:val="24"/>
          <w:szCs w:val="24"/>
          <w:lang w:val="es-ES" w:eastAsia="es-MX"/>
        </w:rPr>
      </w:pPr>
    </w:p>
    <w:p w:rsidR="00FB0A89" w:rsidRDefault="00FB0A89" w:rsidP="008A2F37">
      <w:pPr>
        <w:spacing w:after="0" w:line="276" w:lineRule="auto"/>
        <w:jc w:val="both"/>
        <w:textAlignment w:val="baseline"/>
        <w:rPr>
          <w:rFonts w:ascii="Arial" w:eastAsia="Times New Roman" w:hAnsi="Arial" w:cs="Arial"/>
          <w:b/>
          <w:bCs/>
          <w:color w:val="000000"/>
          <w:sz w:val="24"/>
          <w:szCs w:val="24"/>
          <w:lang w:val="es-ES" w:eastAsia="es-MX"/>
        </w:rPr>
      </w:pPr>
    </w:p>
    <w:p w:rsidR="00B1654F" w:rsidRPr="0088062A" w:rsidRDefault="00B1654F" w:rsidP="008A2F37">
      <w:pPr>
        <w:spacing w:after="0" w:line="276" w:lineRule="auto"/>
        <w:jc w:val="both"/>
        <w:textAlignment w:val="baseline"/>
        <w:rPr>
          <w:rFonts w:ascii="Arial" w:eastAsia="Times New Roman" w:hAnsi="Arial" w:cs="Arial"/>
          <w:b/>
          <w:bCs/>
          <w:color w:val="000000"/>
          <w:sz w:val="24"/>
          <w:szCs w:val="24"/>
          <w:lang w:val="es-ES" w:eastAsia="es-MX"/>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lastRenderedPageBreak/>
        <w:t>CONCLUSIONES Y RECOMENDACIONES</w:t>
      </w:r>
      <w:r w:rsidR="0096597C">
        <w:rPr>
          <w:rFonts w:ascii="Arial" w:eastAsia="Times New Roman" w:hAnsi="Arial" w:cs="Arial"/>
          <w:b/>
          <w:bCs/>
          <w:color w:val="000000"/>
          <w:sz w:val="24"/>
          <w:szCs w:val="24"/>
          <w:lang w:val="es-ES" w:eastAsia="es-MX"/>
        </w:rPr>
        <w:t>:</w:t>
      </w:r>
    </w:p>
    <w:p w:rsidR="00B4295E" w:rsidRDefault="00B4295E" w:rsidP="0096597C">
      <w:pPr>
        <w:spacing w:after="0" w:line="276" w:lineRule="auto"/>
        <w:jc w:val="center"/>
        <w:textAlignment w:val="baseline"/>
        <w:rPr>
          <w:rFonts w:ascii="Arial" w:eastAsia="Times New Roman" w:hAnsi="Arial" w:cs="Arial"/>
          <w:b/>
          <w:bCs/>
          <w:color w:val="000000"/>
          <w:sz w:val="24"/>
          <w:szCs w:val="24"/>
          <w:lang w:val="es-ES" w:eastAsia="es-MX"/>
        </w:rPr>
      </w:pPr>
    </w:p>
    <w:p w:rsidR="00A25DDD" w:rsidRDefault="00A25DDD" w:rsidP="0096597C">
      <w:pPr>
        <w:spacing w:after="0" w:line="276" w:lineRule="auto"/>
        <w:jc w:val="center"/>
        <w:textAlignment w:val="baseline"/>
        <w:rPr>
          <w:rFonts w:ascii="Arial" w:eastAsia="Times New Roman" w:hAnsi="Arial" w:cs="Arial"/>
          <w:b/>
          <w:bCs/>
          <w:color w:val="000000"/>
          <w:sz w:val="24"/>
          <w:szCs w:val="24"/>
          <w:lang w:val="es-ES" w:eastAsia="es-MX"/>
        </w:rPr>
      </w:pPr>
    </w:p>
    <w:p w:rsidR="007B3AA7" w:rsidRDefault="00A25DDD" w:rsidP="007B3AA7">
      <w:pPr>
        <w:pStyle w:val="paragraph"/>
        <w:spacing w:before="0" w:beforeAutospacing="0" w:after="0" w:afterAutospacing="0" w:line="360" w:lineRule="auto"/>
        <w:ind w:firstLine="709"/>
        <w:jc w:val="both"/>
        <w:textAlignment w:val="baseline"/>
        <w:rPr>
          <w:rStyle w:val="normaltextrun"/>
          <w:rFonts w:ascii="Arial" w:hAnsi="Arial" w:cs="Arial"/>
          <w:color w:val="000000"/>
          <w:lang w:val="es-ES"/>
        </w:rPr>
      </w:pPr>
      <w:r>
        <w:rPr>
          <w:rFonts w:ascii="Arial" w:hAnsi="Arial" w:cs="Arial"/>
          <w:b/>
          <w:bCs/>
          <w:color w:val="000000"/>
          <w:lang w:val="es-ES"/>
        </w:rPr>
        <w:tab/>
      </w:r>
      <w:r w:rsidR="007B3AA7">
        <w:rPr>
          <w:rStyle w:val="normaltextrun"/>
          <w:rFonts w:ascii="Arial" w:hAnsi="Arial" w:cs="Arial"/>
          <w:color w:val="000000"/>
          <w:lang w:val="es-ES"/>
        </w:rPr>
        <w:t xml:space="preserve">El trabajo continuo en las comunidades sigue dando pauta a las asesorías, la demanda del servicio en éste mes disminuyó un poco a causa de las fiestas decembrinas y posadas, y cabe mencionar que la difusión de los servicios que ofrece el CDM no solo se ha dado por medios electrónicos y carteles sino también por medio de talleres y es ahí un parteaguas para que se </w:t>
      </w:r>
      <w:r w:rsidR="008C7012">
        <w:rPr>
          <w:rStyle w:val="normaltextrun"/>
          <w:rFonts w:ascii="Arial" w:hAnsi="Arial" w:cs="Arial"/>
          <w:color w:val="000000"/>
          <w:lang w:val="es-ES"/>
        </w:rPr>
        <w:t>transmita la información</w:t>
      </w:r>
      <w:r w:rsidR="007B3AA7">
        <w:rPr>
          <w:rStyle w:val="normaltextrun"/>
          <w:rFonts w:ascii="Arial" w:hAnsi="Arial" w:cs="Arial"/>
          <w:color w:val="000000"/>
          <w:lang w:val="es-ES"/>
        </w:rPr>
        <w:t xml:space="preserve"> </w:t>
      </w:r>
      <w:r w:rsidR="008C7012">
        <w:rPr>
          <w:rStyle w:val="normaltextrun"/>
          <w:rFonts w:ascii="Arial" w:hAnsi="Arial" w:cs="Arial"/>
          <w:color w:val="000000"/>
          <w:lang w:val="es-ES"/>
        </w:rPr>
        <w:t>del personal asistente a los talleres a otras personas de sus comunidades y círculos sociales.</w:t>
      </w:r>
    </w:p>
    <w:p w:rsidR="00795155" w:rsidRPr="007D567B" w:rsidRDefault="008E2091" w:rsidP="007D567B">
      <w:pPr>
        <w:tabs>
          <w:tab w:val="left" w:pos="1470"/>
        </w:tabs>
        <w:spacing w:after="0" w:line="360" w:lineRule="auto"/>
        <w:jc w:val="both"/>
        <w:textAlignment w:val="baseline"/>
        <w:rPr>
          <w:rFonts w:ascii="Arial" w:eastAsia="Times New Roman" w:hAnsi="Arial" w:cs="Arial"/>
          <w:bCs/>
          <w:color w:val="000000" w:themeColor="text1"/>
          <w:sz w:val="24"/>
          <w:szCs w:val="24"/>
          <w:lang w:val="es-ES" w:eastAsia="es-MX"/>
        </w:rPr>
      </w:pPr>
      <w:r w:rsidRPr="00B1654F">
        <w:rPr>
          <w:rFonts w:ascii="Arial" w:eastAsia="Times New Roman" w:hAnsi="Arial" w:cs="Arial"/>
          <w:bCs/>
          <w:color w:val="FF0000"/>
          <w:sz w:val="24"/>
          <w:szCs w:val="24"/>
          <w:lang w:val="es-ES" w:eastAsia="es-MX"/>
        </w:rPr>
        <w:t xml:space="preserve"> </w:t>
      </w:r>
      <w:r w:rsidR="007D567B">
        <w:rPr>
          <w:rFonts w:ascii="Arial" w:eastAsia="Times New Roman" w:hAnsi="Arial" w:cs="Arial"/>
          <w:bCs/>
          <w:color w:val="FF0000"/>
          <w:sz w:val="24"/>
          <w:szCs w:val="24"/>
          <w:lang w:val="es-ES" w:eastAsia="es-MX"/>
        </w:rPr>
        <w:tab/>
      </w:r>
      <w:r w:rsidR="007D567B">
        <w:rPr>
          <w:rFonts w:ascii="Arial" w:eastAsia="Times New Roman" w:hAnsi="Arial" w:cs="Arial"/>
          <w:bCs/>
          <w:color w:val="000000" w:themeColor="text1"/>
          <w:sz w:val="24"/>
          <w:szCs w:val="24"/>
          <w:lang w:val="es-ES" w:eastAsia="es-MX"/>
        </w:rPr>
        <w:t xml:space="preserve">Se recomienda continuar buscando más mecanismos los cuales permitan llega cada vez a más personas de las agencias y delegaciones pertenecientes al municipio puesto que sensibilizar en temas de igualdad y equidad de género no </w:t>
      </w:r>
      <w:r w:rsidR="00FB0A89">
        <w:rPr>
          <w:rFonts w:ascii="Arial" w:eastAsia="Times New Roman" w:hAnsi="Arial" w:cs="Arial"/>
          <w:bCs/>
          <w:color w:val="000000" w:themeColor="text1"/>
          <w:sz w:val="24"/>
          <w:szCs w:val="24"/>
          <w:lang w:val="es-ES" w:eastAsia="es-MX"/>
        </w:rPr>
        <w:t xml:space="preserve">es cuestión de días ni de meses, siendo cuestión de desaprender los roles y </w:t>
      </w:r>
      <w:proofErr w:type="spellStart"/>
      <w:r w:rsidR="00FB0A89">
        <w:rPr>
          <w:rFonts w:ascii="Arial" w:eastAsia="Times New Roman" w:hAnsi="Arial" w:cs="Arial"/>
          <w:bCs/>
          <w:color w:val="000000" w:themeColor="text1"/>
          <w:sz w:val="24"/>
          <w:szCs w:val="24"/>
          <w:lang w:val="es-ES" w:eastAsia="es-MX"/>
        </w:rPr>
        <w:t>esteriotipos</w:t>
      </w:r>
      <w:proofErr w:type="spellEnd"/>
      <w:r w:rsidR="00FB0A89">
        <w:rPr>
          <w:rFonts w:ascii="Arial" w:eastAsia="Times New Roman" w:hAnsi="Arial" w:cs="Arial"/>
          <w:bCs/>
          <w:color w:val="000000" w:themeColor="text1"/>
          <w:sz w:val="24"/>
          <w:szCs w:val="24"/>
          <w:lang w:val="es-ES" w:eastAsia="es-MX"/>
        </w:rPr>
        <w:t xml:space="preserve"> que la sociedad impone a mujeres y hombres.</w:t>
      </w:r>
    </w:p>
    <w:p w:rsidR="00795155" w:rsidRPr="00B1654F"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7D567B">
      <w:pPr>
        <w:tabs>
          <w:tab w:val="left" w:pos="1500"/>
        </w:tabs>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E50443" w:rsidRDefault="00E50443" w:rsidP="0006528B">
      <w:pPr>
        <w:spacing w:after="0" w:line="360" w:lineRule="auto"/>
        <w:jc w:val="both"/>
        <w:textAlignment w:val="baseline"/>
        <w:rPr>
          <w:rFonts w:ascii="Arial" w:eastAsia="Times New Roman" w:hAnsi="Arial" w:cs="Arial"/>
          <w:bCs/>
          <w:color w:val="FF0000"/>
          <w:sz w:val="24"/>
          <w:szCs w:val="24"/>
          <w:lang w:val="es-ES" w:eastAsia="es-MX"/>
        </w:rPr>
      </w:pPr>
    </w:p>
    <w:p w:rsidR="00E50443" w:rsidRDefault="00E50443" w:rsidP="0006528B">
      <w:pPr>
        <w:spacing w:after="0" w:line="360" w:lineRule="auto"/>
        <w:jc w:val="both"/>
        <w:textAlignment w:val="baseline"/>
        <w:rPr>
          <w:rFonts w:ascii="Arial" w:eastAsia="Times New Roman" w:hAnsi="Arial" w:cs="Arial"/>
          <w:bCs/>
          <w:color w:val="FF0000"/>
          <w:sz w:val="24"/>
          <w:szCs w:val="24"/>
          <w:lang w:val="es-ES" w:eastAsia="es-MX"/>
        </w:rPr>
      </w:pPr>
    </w:p>
    <w:p w:rsidR="00E50443" w:rsidRDefault="00E50443" w:rsidP="0006528B">
      <w:pPr>
        <w:spacing w:after="0" w:line="360" w:lineRule="auto"/>
        <w:jc w:val="both"/>
        <w:textAlignment w:val="baseline"/>
        <w:rPr>
          <w:rFonts w:ascii="Arial" w:eastAsia="Times New Roman" w:hAnsi="Arial" w:cs="Arial"/>
          <w:bCs/>
          <w:color w:val="FF0000"/>
          <w:sz w:val="24"/>
          <w:szCs w:val="24"/>
          <w:lang w:val="es-ES" w:eastAsia="es-MX"/>
        </w:rPr>
      </w:pPr>
    </w:p>
    <w:p w:rsidR="00E50443" w:rsidRDefault="00E50443" w:rsidP="0006528B">
      <w:pPr>
        <w:spacing w:after="0" w:line="360" w:lineRule="auto"/>
        <w:jc w:val="both"/>
        <w:textAlignment w:val="baseline"/>
        <w:rPr>
          <w:rFonts w:ascii="Arial" w:eastAsia="Times New Roman" w:hAnsi="Arial" w:cs="Arial"/>
          <w:bCs/>
          <w:color w:val="FF0000"/>
          <w:sz w:val="24"/>
          <w:szCs w:val="24"/>
          <w:lang w:val="es-ES" w:eastAsia="es-MX"/>
        </w:rPr>
      </w:pPr>
    </w:p>
    <w:p w:rsidR="00E50443" w:rsidRDefault="00E50443" w:rsidP="0006528B">
      <w:pPr>
        <w:spacing w:after="0" w:line="360" w:lineRule="auto"/>
        <w:jc w:val="both"/>
        <w:textAlignment w:val="baseline"/>
        <w:rPr>
          <w:rFonts w:ascii="Arial" w:eastAsia="Times New Roman" w:hAnsi="Arial" w:cs="Arial"/>
          <w:bCs/>
          <w:color w:val="FF0000"/>
          <w:sz w:val="24"/>
          <w:szCs w:val="24"/>
          <w:lang w:val="es-ES" w:eastAsia="es-MX"/>
        </w:rPr>
      </w:pPr>
    </w:p>
    <w:p w:rsidR="00E50443" w:rsidRDefault="00E50443"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D567B" w:rsidP="007D567B">
      <w:pPr>
        <w:tabs>
          <w:tab w:val="left" w:pos="2535"/>
        </w:tabs>
        <w:spacing w:after="0" w:line="360" w:lineRule="auto"/>
        <w:jc w:val="both"/>
        <w:textAlignment w:val="baseline"/>
        <w:rPr>
          <w:rFonts w:ascii="Arial" w:eastAsia="Times New Roman" w:hAnsi="Arial" w:cs="Arial"/>
          <w:bCs/>
          <w:color w:val="FF0000"/>
          <w:sz w:val="24"/>
          <w:szCs w:val="24"/>
          <w:lang w:val="es-ES" w:eastAsia="es-MX"/>
        </w:rPr>
      </w:pPr>
      <w:r>
        <w:rPr>
          <w:rFonts w:ascii="Arial" w:eastAsia="Times New Roman" w:hAnsi="Arial" w:cs="Arial"/>
          <w:bCs/>
          <w:color w:val="FF0000"/>
          <w:sz w:val="24"/>
          <w:szCs w:val="24"/>
          <w:lang w:val="es-ES" w:eastAsia="es-MX"/>
        </w:rPr>
        <w:tab/>
      </w: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231D43" w:rsidRDefault="00231D43" w:rsidP="007405B2">
      <w:pPr>
        <w:spacing w:after="0" w:line="360" w:lineRule="auto"/>
        <w:rPr>
          <w:rFonts w:ascii="Arial" w:eastAsia="Times New Roman" w:hAnsi="Arial" w:cs="Arial"/>
          <w:sz w:val="24"/>
          <w:szCs w:val="24"/>
          <w:lang w:val="es-ES" w:eastAsia="es-ES"/>
        </w:rPr>
      </w:pPr>
    </w:p>
    <w:p w:rsidR="0097306B" w:rsidRPr="0088062A" w:rsidRDefault="0097306B" w:rsidP="007405B2">
      <w:pPr>
        <w:spacing w:after="0" w:line="360" w:lineRule="auto"/>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lastRenderedPageBreak/>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SAN MARTÍN HIDALGO, JALISCO. </w:t>
      </w:r>
      <w:r w:rsidR="00F0715C">
        <w:rPr>
          <w:rFonts w:ascii="Arial" w:eastAsia="Times New Roman" w:hAnsi="Arial" w:cs="Arial"/>
          <w:sz w:val="24"/>
          <w:szCs w:val="24"/>
          <w:lang w:val="es-ES" w:eastAsia="es-ES"/>
        </w:rPr>
        <w:t>DIC</w:t>
      </w:r>
      <w:r w:rsidR="009D49DE">
        <w:rPr>
          <w:rFonts w:ascii="Arial" w:eastAsia="Times New Roman" w:hAnsi="Arial" w:cs="Arial"/>
          <w:sz w:val="24"/>
          <w:szCs w:val="24"/>
          <w:lang w:val="es-ES" w:eastAsia="es-ES"/>
        </w:rPr>
        <w:t>IEM</w:t>
      </w:r>
      <w:r w:rsidR="00BF25E6">
        <w:rPr>
          <w:rFonts w:ascii="Arial" w:eastAsia="Times New Roman" w:hAnsi="Arial" w:cs="Arial"/>
          <w:sz w:val="24"/>
          <w:szCs w:val="24"/>
          <w:lang w:val="es-ES" w:eastAsia="es-ES"/>
        </w:rPr>
        <w:t>BRE</w:t>
      </w:r>
      <w:r w:rsidRPr="0088062A">
        <w:rPr>
          <w:rFonts w:ascii="Arial" w:eastAsia="Times New Roman" w:hAnsi="Arial" w:cs="Arial"/>
          <w:sz w:val="24"/>
          <w:szCs w:val="24"/>
          <w:lang w:val="es-ES" w:eastAsia="es-ES"/>
        </w:rPr>
        <w:t xml:space="preserve"> 2018</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0"/>
        </w:tabs>
        <w:spacing w:after="0" w:line="360" w:lineRule="auto"/>
        <w:jc w:val="center"/>
        <w:rPr>
          <w:rFonts w:ascii="Arial" w:eastAsia="Times New Roman" w:hAnsi="Arial" w:cs="Arial"/>
          <w:sz w:val="24"/>
          <w:szCs w:val="24"/>
          <w:lang w:val="es-ES" w:eastAsia="es-ES"/>
        </w:rPr>
      </w:pPr>
      <w:bookmarkStart w:id="0" w:name="_GoBack"/>
      <w:bookmarkEnd w:id="0"/>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default" r:id="rId20"/>
          <w:footerReference w:type="default" r:id="rId21"/>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CD0" w:rsidRDefault="00012CD0">
      <w:pPr>
        <w:spacing w:after="0" w:line="240" w:lineRule="auto"/>
      </w:pPr>
      <w:r>
        <w:separator/>
      </w:r>
    </w:p>
  </w:endnote>
  <w:endnote w:type="continuationSeparator" w:id="0">
    <w:p w:rsidR="00012CD0" w:rsidRDefault="00012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426136"/>
      <w:docPartObj>
        <w:docPartGallery w:val="Page Numbers (Bottom of Page)"/>
        <w:docPartUnique/>
      </w:docPartObj>
    </w:sdtPr>
    <w:sdtEndPr/>
    <w:sdtContent>
      <w:p w:rsidR="00112399" w:rsidRDefault="00112399" w:rsidP="00112399">
        <w:pPr>
          <w:pStyle w:val="Piedepgina"/>
          <w:jc w:val="right"/>
        </w:pPr>
        <w:r>
          <w:fldChar w:fldCharType="begin"/>
        </w:r>
        <w:r>
          <w:instrText>PAGE   \* MERGEFORMAT</w:instrText>
        </w:r>
        <w:r>
          <w:fldChar w:fldCharType="separate"/>
        </w:r>
        <w:r w:rsidR="00FB0A89">
          <w:rPr>
            <w:noProof/>
          </w:rPr>
          <w:t>14</w:t>
        </w:r>
        <w:r>
          <w:fldChar w:fldCharType="end"/>
        </w:r>
      </w:p>
    </w:sdtContent>
  </w:sdt>
  <w:p w:rsidR="00112399" w:rsidRPr="005A4913" w:rsidRDefault="00112399" w:rsidP="00112399">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CD0" w:rsidRDefault="00012CD0">
      <w:pPr>
        <w:spacing w:after="0" w:line="240" w:lineRule="auto"/>
      </w:pPr>
      <w:r>
        <w:separator/>
      </w:r>
    </w:p>
  </w:footnote>
  <w:footnote w:type="continuationSeparator" w:id="0">
    <w:p w:rsidR="00012CD0" w:rsidRDefault="00012C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99" w:rsidRDefault="00112399" w:rsidP="00112399">
    <w:pPr>
      <w:pStyle w:val="Encabezado"/>
      <w:jc w:val="center"/>
    </w:pPr>
  </w:p>
  <w:p w:rsidR="00112399" w:rsidRDefault="00112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1ED"/>
    <w:multiLevelType w:val="hybridMultilevel"/>
    <w:tmpl w:val="0BB69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F42491"/>
    <w:multiLevelType w:val="hybridMultilevel"/>
    <w:tmpl w:val="84B45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37"/>
    <w:rsid w:val="00003F5D"/>
    <w:rsid w:val="00011033"/>
    <w:rsid w:val="00011C40"/>
    <w:rsid w:val="00011D67"/>
    <w:rsid w:val="00012CD0"/>
    <w:rsid w:val="00012EDE"/>
    <w:rsid w:val="00017153"/>
    <w:rsid w:val="000236E2"/>
    <w:rsid w:val="00036532"/>
    <w:rsid w:val="00037BBA"/>
    <w:rsid w:val="00044864"/>
    <w:rsid w:val="00044B73"/>
    <w:rsid w:val="0005301F"/>
    <w:rsid w:val="00054C71"/>
    <w:rsid w:val="000608D3"/>
    <w:rsid w:val="0006212A"/>
    <w:rsid w:val="0006528B"/>
    <w:rsid w:val="000733F9"/>
    <w:rsid w:val="000775F6"/>
    <w:rsid w:val="00080657"/>
    <w:rsid w:val="00082262"/>
    <w:rsid w:val="00082679"/>
    <w:rsid w:val="000903C6"/>
    <w:rsid w:val="00092D41"/>
    <w:rsid w:val="000B0745"/>
    <w:rsid w:val="000B1B41"/>
    <w:rsid w:val="000C0095"/>
    <w:rsid w:val="000D0484"/>
    <w:rsid w:val="000D3A75"/>
    <w:rsid w:val="000E4219"/>
    <w:rsid w:val="00102B2E"/>
    <w:rsid w:val="001031F3"/>
    <w:rsid w:val="00103E3E"/>
    <w:rsid w:val="00104C64"/>
    <w:rsid w:val="00110173"/>
    <w:rsid w:val="00112399"/>
    <w:rsid w:val="00117BC2"/>
    <w:rsid w:val="0012127B"/>
    <w:rsid w:val="0012129C"/>
    <w:rsid w:val="0012471C"/>
    <w:rsid w:val="001252C8"/>
    <w:rsid w:val="00125841"/>
    <w:rsid w:val="00125C09"/>
    <w:rsid w:val="00133D30"/>
    <w:rsid w:val="00140A71"/>
    <w:rsid w:val="00141979"/>
    <w:rsid w:val="001426E8"/>
    <w:rsid w:val="00153117"/>
    <w:rsid w:val="00154DC1"/>
    <w:rsid w:val="0015778D"/>
    <w:rsid w:val="00157C61"/>
    <w:rsid w:val="001612C9"/>
    <w:rsid w:val="001643A4"/>
    <w:rsid w:val="0016463F"/>
    <w:rsid w:val="00164769"/>
    <w:rsid w:val="001833B0"/>
    <w:rsid w:val="001923CD"/>
    <w:rsid w:val="00196A73"/>
    <w:rsid w:val="001972B9"/>
    <w:rsid w:val="00197C14"/>
    <w:rsid w:val="001A4A67"/>
    <w:rsid w:val="001B0C7C"/>
    <w:rsid w:val="001B5F91"/>
    <w:rsid w:val="001C56FC"/>
    <w:rsid w:val="001D0C95"/>
    <w:rsid w:val="001D600F"/>
    <w:rsid w:val="001E00D0"/>
    <w:rsid w:val="001E1283"/>
    <w:rsid w:val="001E137A"/>
    <w:rsid w:val="001E5AE0"/>
    <w:rsid w:val="001E799C"/>
    <w:rsid w:val="001F2262"/>
    <w:rsid w:val="001F4EAF"/>
    <w:rsid w:val="001F51E5"/>
    <w:rsid w:val="00207F30"/>
    <w:rsid w:val="00211A60"/>
    <w:rsid w:val="00212539"/>
    <w:rsid w:val="0021297F"/>
    <w:rsid w:val="002210CD"/>
    <w:rsid w:val="00226BA6"/>
    <w:rsid w:val="00230143"/>
    <w:rsid w:val="00231D43"/>
    <w:rsid w:val="00241975"/>
    <w:rsid w:val="0025040F"/>
    <w:rsid w:val="002530C6"/>
    <w:rsid w:val="0025543C"/>
    <w:rsid w:val="002641C8"/>
    <w:rsid w:val="002643B7"/>
    <w:rsid w:val="00267E45"/>
    <w:rsid w:val="002704EA"/>
    <w:rsid w:val="0028556F"/>
    <w:rsid w:val="002960D3"/>
    <w:rsid w:val="002A2E7F"/>
    <w:rsid w:val="002A4035"/>
    <w:rsid w:val="002A4573"/>
    <w:rsid w:val="002A772A"/>
    <w:rsid w:val="002B1B20"/>
    <w:rsid w:val="002C2AB7"/>
    <w:rsid w:val="002C4317"/>
    <w:rsid w:val="002D1E78"/>
    <w:rsid w:val="002D2425"/>
    <w:rsid w:val="002D50F3"/>
    <w:rsid w:val="002D698A"/>
    <w:rsid w:val="002E02D3"/>
    <w:rsid w:val="002F16E9"/>
    <w:rsid w:val="002F656F"/>
    <w:rsid w:val="0031115E"/>
    <w:rsid w:val="00317659"/>
    <w:rsid w:val="003209FC"/>
    <w:rsid w:val="003228BB"/>
    <w:rsid w:val="00326370"/>
    <w:rsid w:val="00326AB9"/>
    <w:rsid w:val="00334038"/>
    <w:rsid w:val="00345DA5"/>
    <w:rsid w:val="00352D1D"/>
    <w:rsid w:val="003534DA"/>
    <w:rsid w:val="003579EB"/>
    <w:rsid w:val="00360AEE"/>
    <w:rsid w:val="00362B8E"/>
    <w:rsid w:val="0036652A"/>
    <w:rsid w:val="003666B1"/>
    <w:rsid w:val="003715FB"/>
    <w:rsid w:val="00374DC5"/>
    <w:rsid w:val="003805FC"/>
    <w:rsid w:val="0038255F"/>
    <w:rsid w:val="003865AB"/>
    <w:rsid w:val="0039169E"/>
    <w:rsid w:val="0039280D"/>
    <w:rsid w:val="00394DA5"/>
    <w:rsid w:val="003A19FE"/>
    <w:rsid w:val="003A1B20"/>
    <w:rsid w:val="003A2368"/>
    <w:rsid w:val="003A27ED"/>
    <w:rsid w:val="003A6393"/>
    <w:rsid w:val="003B38AD"/>
    <w:rsid w:val="003B7FF2"/>
    <w:rsid w:val="003C058D"/>
    <w:rsid w:val="003D1191"/>
    <w:rsid w:val="003D2E3A"/>
    <w:rsid w:val="003D2F45"/>
    <w:rsid w:val="003D34DA"/>
    <w:rsid w:val="003D3941"/>
    <w:rsid w:val="003E1446"/>
    <w:rsid w:val="003E2E64"/>
    <w:rsid w:val="003E3304"/>
    <w:rsid w:val="003E5189"/>
    <w:rsid w:val="003F4379"/>
    <w:rsid w:val="003F7E51"/>
    <w:rsid w:val="00400BE3"/>
    <w:rsid w:val="00402A95"/>
    <w:rsid w:val="004030D6"/>
    <w:rsid w:val="00422177"/>
    <w:rsid w:val="0042266C"/>
    <w:rsid w:val="00425E1F"/>
    <w:rsid w:val="00435698"/>
    <w:rsid w:val="00435C0F"/>
    <w:rsid w:val="00445D91"/>
    <w:rsid w:val="0044614D"/>
    <w:rsid w:val="0045097E"/>
    <w:rsid w:val="004644F3"/>
    <w:rsid w:val="00466AA1"/>
    <w:rsid w:val="004738ED"/>
    <w:rsid w:val="00477496"/>
    <w:rsid w:val="004811F5"/>
    <w:rsid w:val="004913CB"/>
    <w:rsid w:val="004929F5"/>
    <w:rsid w:val="004A06B1"/>
    <w:rsid w:val="004A1F8E"/>
    <w:rsid w:val="004A319E"/>
    <w:rsid w:val="004B02AF"/>
    <w:rsid w:val="004B1BF5"/>
    <w:rsid w:val="004B53C2"/>
    <w:rsid w:val="004C010E"/>
    <w:rsid w:val="004C044A"/>
    <w:rsid w:val="004C0473"/>
    <w:rsid w:val="004C3FCB"/>
    <w:rsid w:val="004C4A58"/>
    <w:rsid w:val="004D17C5"/>
    <w:rsid w:val="004D192A"/>
    <w:rsid w:val="004E514A"/>
    <w:rsid w:val="004E59AC"/>
    <w:rsid w:val="004F06CC"/>
    <w:rsid w:val="004F3CFA"/>
    <w:rsid w:val="004F3D46"/>
    <w:rsid w:val="004F5675"/>
    <w:rsid w:val="004F68F0"/>
    <w:rsid w:val="004F7EE6"/>
    <w:rsid w:val="00505F2D"/>
    <w:rsid w:val="00512DCC"/>
    <w:rsid w:val="0051629C"/>
    <w:rsid w:val="00521DFE"/>
    <w:rsid w:val="00522EF8"/>
    <w:rsid w:val="00552E16"/>
    <w:rsid w:val="00554DB2"/>
    <w:rsid w:val="005552AA"/>
    <w:rsid w:val="00555977"/>
    <w:rsid w:val="00565EB6"/>
    <w:rsid w:val="0056694A"/>
    <w:rsid w:val="00573302"/>
    <w:rsid w:val="005741FA"/>
    <w:rsid w:val="00576C29"/>
    <w:rsid w:val="00581531"/>
    <w:rsid w:val="00582183"/>
    <w:rsid w:val="005846DF"/>
    <w:rsid w:val="0059037F"/>
    <w:rsid w:val="005A048A"/>
    <w:rsid w:val="005A6B3E"/>
    <w:rsid w:val="005B7E9B"/>
    <w:rsid w:val="005D1BA6"/>
    <w:rsid w:val="005D7407"/>
    <w:rsid w:val="005D7AC4"/>
    <w:rsid w:val="005F2FB0"/>
    <w:rsid w:val="005F66C5"/>
    <w:rsid w:val="00601ED1"/>
    <w:rsid w:val="00602A31"/>
    <w:rsid w:val="00604B68"/>
    <w:rsid w:val="00607478"/>
    <w:rsid w:val="00610798"/>
    <w:rsid w:val="00610CB4"/>
    <w:rsid w:val="00612E4D"/>
    <w:rsid w:val="00615730"/>
    <w:rsid w:val="00616DBF"/>
    <w:rsid w:val="00621660"/>
    <w:rsid w:val="00622A21"/>
    <w:rsid w:val="006266BC"/>
    <w:rsid w:val="00627EEA"/>
    <w:rsid w:val="00633490"/>
    <w:rsid w:val="00646D75"/>
    <w:rsid w:val="00656782"/>
    <w:rsid w:val="00661820"/>
    <w:rsid w:val="006632BB"/>
    <w:rsid w:val="00663354"/>
    <w:rsid w:val="006701DC"/>
    <w:rsid w:val="00671B5D"/>
    <w:rsid w:val="0068207F"/>
    <w:rsid w:val="006830CC"/>
    <w:rsid w:val="00683775"/>
    <w:rsid w:val="00683BF2"/>
    <w:rsid w:val="00685FE5"/>
    <w:rsid w:val="006907E4"/>
    <w:rsid w:val="006915B8"/>
    <w:rsid w:val="0069683C"/>
    <w:rsid w:val="00697A44"/>
    <w:rsid w:val="006A4B50"/>
    <w:rsid w:val="006A6A05"/>
    <w:rsid w:val="006A7096"/>
    <w:rsid w:val="006B0A90"/>
    <w:rsid w:val="006B3AB5"/>
    <w:rsid w:val="006C57C2"/>
    <w:rsid w:val="006C7D61"/>
    <w:rsid w:val="006D3A54"/>
    <w:rsid w:val="006F4E59"/>
    <w:rsid w:val="007147B5"/>
    <w:rsid w:val="00716CC9"/>
    <w:rsid w:val="00717363"/>
    <w:rsid w:val="007252DC"/>
    <w:rsid w:val="00726A2C"/>
    <w:rsid w:val="007369A4"/>
    <w:rsid w:val="00737A25"/>
    <w:rsid w:val="007405B2"/>
    <w:rsid w:val="00741691"/>
    <w:rsid w:val="00743F4D"/>
    <w:rsid w:val="00747DDA"/>
    <w:rsid w:val="00762FAB"/>
    <w:rsid w:val="00765974"/>
    <w:rsid w:val="007665AF"/>
    <w:rsid w:val="00770320"/>
    <w:rsid w:val="007736A6"/>
    <w:rsid w:val="00786DAE"/>
    <w:rsid w:val="007921E6"/>
    <w:rsid w:val="00793AC1"/>
    <w:rsid w:val="00795155"/>
    <w:rsid w:val="0079639A"/>
    <w:rsid w:val="007B3AA7"/>
    <w:rsid w:val="007B6D29"/>
    <w:rsid w:val="007B7949"/>
    <w:rsid w:val="007C42E9"/>
    <w:rsid w:val="007D567B"/>
    <w:rsid w:val="007D7962"/>
    <w:rsid w:val="007F0AD1"/>
    <w:rsid w:val="00803B5F"/>
    <w:rsid w:val="00806912"/>
    <w:rsid w:val="008142AC"/>
    <w:rsid w:val="00820FDC"/>
    <w:rsid w:val="008216A2"/>
    <w:rsid w:val="008221F1"/>
    <w:rsid w:val="00833A28"/>
    <w:rsid w:val="008376FA"/>
    <w:rsid w:val="00840333"/>
    <w:rsid w:val="00847FF5"/>
    <w:rsid w:val="008522FC"/>
    <w:rsid w:val="008633B4"/>
    <w:rsid w:val="00863A61"/>
    <w:rsid w:val="00863F0F"/>
    <w:rsid w:val="00866A52"/>
    <w:rsid w:val="00875D20"/>
    <w:rsid w:val="008762B1"/>
    <w:rsid w:val="0088062A"/>
    <w:rsid w:val="0088105C"/>
    <w:rsid w:val="00883783"/>
    <w:rsid w:val="00885007"/>
    <w:rsid w:val="0088710A"/>
    <w:rsid w:val="00894421"/>
    <w:rsid w:val="008945F7"/>
    <w:rsid w:val="008A1086"/>
    <w:rsid w:val="008A1705"/>
    <w:rsid w:val="008A2F37"/>
    <w:rsid w:val="008B4C94"/>
    <w:rsid w:val="008C3634"/>
    <w:rsid w:val="008C7012"/>
    <w:rsid w:val="008D0ABB"/>
    <w:rsid w:val="008D0D7A"/>
    <w:rsid w:val="008D6F34"/>
    <w:rsid w:val="008E0679"/>
    <w:rsid w:val="008E17EF"/>
    <w:rsid w:val="008E2091"/>
    <w:rsid w:val="008E3647"/>
    <w:rsid w:val="008F2238"/>
    <w:rsid w:val="008F31AA"/>
    <w:rsid w:val="008F394B"/>
    <w:rsid w:val="00903D1E"/>
    <w:rsid w:val="0090478D"/>
    <w:rsid w:val="009068DA"/>
    <w:rsid w:val="009146CA"/>
    <w:rsid w:val="009176AE"/>
    <w:rsid w:val="009320AC"/>
    <w:rsid w:val="00932692"/>
    <w:rsid w:val="00934028"/>
    <w:rsid w:val="009340D2"/>
    <w:rsid w:val="00935547"/>
    <w:rsid w:val="009368DF"/>
    <w:rsid w:val="00942D22"/>
    <w:rsid w:val="00946ED3"/>
    <w:rsid w:val="009528B1"/>
    <w:rsid w:val="009578E0"/>
    <w:rsid w:val="00962043"/>
    <w:rsid w:val="009636B5"/>
    <w:rsid w:val="0096597C"/>
    <w:rsid w:val="00971F81"/>
    <w:rsid w:val="0097306B"/>
    <w:rsid w:val="00973886"/>
    <w:rsid w:val="009741DC"/>
    <w:rsid w:val="00975CD9"/>
    <w:rsid w:val="009865AD"/>
    <w:rsid w:val="0099242F"/>
    <w:rsid w:val="00992819"/>
    <w:rsid w:val="0099293A"/>
    <w:rsid w:val="009A16EB"/>
    <w:rsid w:val="009A3CCB"/>
    <w:rsid w:val="009A5F1B"/>
    <w:rsid w:val="009A5FC2"/>
    <w:rsid w:val="009A63A6"/>
    <w:rsid w:val="009A65A9"/>
    <w:rsid w:val="009B2262"/>
    <w:rsid w:val="009B39E6"/>
    <w:rsid w:val="009C33AA"/>
    <w:rsid w:val="009D49DE"/>
    <w:rsid w:val="009D58DF"/>
    <w:rsid w:val="009E7223"/>
    <w:rsid w:val="009F5B82"/>
    <w:rsid w:val="00A043C7"/>
    <w:rsid w:val="00A04CE9"/>
    <w:rsid w:val="00A06B62"/>
    <w:rsid w:val="00A16549"/>
    <w:rsid w:val="00A22BF5"/>
    <w:rsid w:val="00A25DDD"/>
    <w:rsid w:val="00A31A9D"/>
    <w:rsid w:val="00A40747"/>
    <w:rsid w:val="00A40E1A"/>
    <w:rsid w:val="00A44956"/>
    <w:rsid w:val="00A53686"/>
    <w:rsid w:val="00A54708"/>
    <w:rsid w:val="00A60947"/>
    <w:rsid w:val="00A60EC7"/>
    <w:rsid w:val="00A60F72"/>
    <w:rsid w:val="00A64988"/>
    <w:rsid w:val="00A64A65"/>
    <w:rsid w:val="00A668F1"/>
    <w:rsid w:val="00A72951"/>
    <w:rsid w:val="00A73C57"/>
    <w:rsid w:val="00A80645"/>
    <w:rsid w:val="00A824FE"/>
    <w:rsid w:val="00A82997"/>
    <w:rsid w:val="00A82D84"/>
    <w:rsid w:val="00AA6B74"/>
    <w:rsid w:val="00AA6CFE"/>
    <w:rsid w:val="00AB020F"/>
    <w:rsid w:val="00AB5878"/>
    <w:rsid w:val="00AB7720"/>
    <w:rsid w:val="00AC1CEF"/>
    <w:rsid w:val="00AC21EF"/>
    <w:rsid w:val="00AC6A48"/>
    <w:rsid w:val="00AD2A41"/>
    <w:rsid w:val="00AD6316"/>
    <w:rsid w:val="00AD64E4"/>
    <w:rsid w:val="00AE4CCD"/>
    <w:rsid w:val="00AF18C2"/>
    <w:rsid w:val="00AF1DA2"/>
    <w:rsid w:val="00AF353F"/>
    <w:rsid w:val="00AF54AE"/>
    <w:rsid w:val="00AF6314"/>
    <w:rsid w:val="00B0088B"/>
    <w:rsid w:val="00B02560"/>
    <w:rsid w:val="00B06456"/>
    <w:rsid w:val="00B06A89"/>
    <w:rsid w:val="00B13C38"/>
    <w:rsid w:val="00B1654F"/>
    <w:rsid w:val="00B16982"/>
    <w:rsid w:val="00B17FA4"/>
    <w:rsid w:val="00B2079A"/>
    <w:rsid w:val="00B25502"/>
    <w:rsid w:val="00B41785"/>
    <w:rsid w:val="00B4295E"/>
    <w:rsid w:val="00B456C2"/>
    <w:rsid w:val="00B4582D"/>
    <w:rsid w:val="00B50D14"/>
    <w:rsid w:val="00B515AD"/>
    <w:rsid w:val="00B53A52"/>
    <w:rsid w:val="00B53FE7"/>
    <w:rsid w:val="00B61766"/>
    <w:rsid w:val="00B67D6F"/>
    <w:rsid w:val="00B75C08"/>
    <w:rsid w:val="00B7775E"/>
    <w:rsid w:val="00BA0698"/>
    <w:rsid w:val="00BA118C"/>
    <w:rsid w:val="00BA1FD3"/>
    <w:rsid w:val="00BA3D5A"/>
    <w:rsid w:val="00BA4F7A"/>
    <w:rsid w:val="00BB673E"/>
    <w:rsid w:val="00BC27D8"/>
    <w:rsid w:val="00BC4A60"/>
    <w:rsid w:val="00BC4E7E"/>
    <w:rsid w:val="00BC7A85"/>
    <w:rsid w:val="00BD5523"/>
    <w:rsid w:val="00BD56EC"/>
    <w:rsid w:val="00BE3688"/>
    <w:rsid w:val="00BE3B04"/>
    <w:rsid w:val="00BE526C"/>
    <w:rsid w:val="00BE5E9F"/>
    <w:rsid w:val="00BF073A"/>
    <w:rsid w:val="00BF25E6"/>
    <w:rsid w:val="00BF452B"/>
    <w:rsid w:val="00C01275"/>
    <w:rsid w:val="00C03648"/>
    <w:rsid w:val="00C06217"/>
    <w:rsid w:val="00C10144"/>
    <w:rsid w:val="00C104D5"/>
    <w:rsid w:val="00C262AF"/>
    <w:rsid w:val="00C2689C"/>
    <w:rsid w:val="00C27B3D"/>
    <w:rsid w:val="00C32799"/>
    <w:rsid w:val="00C34580"/>
    <w:rsid w:val="00C3770B"/>
    <w:rsid w:val="00C42F2F"/>
    <w:rsid w:val="00C5463B"/>
    <w:rsid w:val="00C57B4F"/>
    <w:rsid w:val="00C61072"/>
    <w:rsid w:val="00C61BC7"/>
    <w:rsid w:val="00C737E4"/>
    <w:rsid w:val="00C748A2"/>
    <w:rsid w:val="00C778DA"/>
    <w:rsid w:val="00C77CC7"/>
    <w:rsid w:val="00C811BC"/>
    <w:rsid w:val="00C94CD0"/>
    <w:rsid w:val="00C954E8"/>
    <w:rsid w:val="00C95D1F"/>
    <w:rsid w:val="00CA0511"/>
    <w:rsid w:val="00CA2EE0"/>
    <w:rsid w:val="00CA6F8D"/>
    <w:rsid w:val="00CA7147"/>
    <w:rsid w:val="00CB01EF"/>
    <w:rsid w:val="00CC3BE6"/>
    <w:rsid w:val="00CC6282"/>
    <w:rsid w:val="00CD31D7"/>
    <w:rsid w:val="00CD4961"/>
    <w:rsid w:val="00CD5B97"/>
    <w:rsid w:val="00CD5DE4"/>
    <w:rsid w:val="00CE7055"/>
    <w:rsid w:val="00CF06C5"/>
    <w:rsid w:val="00CF3F22"/>
    <w:rsid w:val="00D14D50"/>
    <w:rsid w:val="00D164F4"/>
    <w:rsid w:val="00D23A0F"/>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D4CBD"/>
    <w:rsid w:val="00DD6B0D"/>
    <w:rsid w:val="00DE1AEC"/>
    <w:rsid w:val="00DE6430"/>
    <w:rsid w:val="00E1308F"/>
    <w:rsid w:val="00E132CF"/>
    <w:rsid w:val="00E160E3"/>
    <w:rsid w:val="00E2356A"/>
    <w:rsid w:val="00E25273"/>
    <w:rsid w:val="00E25745"/>
    <w:rsid w:val="00E32A3F"/>
    <w:rsid w:val="00E36CF5"/>
    <w:rsid w:val="00E50443"/>
    <w:rsid w:val="00E57C5B"/>
    <w:rsid w:val="00E619DC"/>
    <w:rsid w:val="00E83623"/>
    <w:rsid w:val="00E932BB"/>
    <w:rsid w:val="00E95623"/>
    <w:rsid w:val="00E95C32"/>
    <w:rsid w:val="00E963C5"/>
    <w:rsid w:val="00E96467"/>
    <w:rsid w:val="00E9780E"/>
    <w:rsid w:val="00EA1F99"/>
    <w:rsid w:val="00EB08B9"/>
    <w:rsid w:val="00EB0E96"/>
    <w:rsid w:val="00EB3A58"/>
    <w:rsid w:val="00EB749E"/>
    <w:rsid w:val="00EE0720"/>
    <w:rsid w:val="00EE2191"/>
    <w:rsid w:val="00EF11A7"/>
    <w:rsid w:val="00EF1217"/>
    <w:rsid w:val="00EF2BCE"/>
    <w:rsid w:val="00EF365F"/>
    <w:rsid w:val="00EF5A3C"/>
    <w:rsid w:val="00EF7AB1"/>
    <w:rsid w:val="00F00447"/>
    <w:rsid w:val="00F01B0D"/>
    <w:rsid w:val="00F01EF2"/>
    <w:rsid w:val="00F0474F"/>
    <w:rsid w:val="00F04770"/>
    <w:rsid w:val="00F0715C"/>
    <w:rsid w:val="00F076BF"/>
    <w:rsid w:val="00F10195"/>
    <w:rsid w:val="00F15235"/>
    <w:rsid w:val="00F22513"/>
    <w:rsid w:val="00F22E41"/>
    <w:rsid w:val="00F238D9"/>
    <w:rsid w:val="00F23D46"/>
    <w:rsid w:val="00F26AF6"/>
    <w:rsid w:val="00F3243E"/>
    <w:rsid w:val="00F32A6A"/>
    <w:rsid w:val="00F343D3"/>
    <w:rsid w:val="00F35735"/>
    <w:rsid w:val="00F35E7B"/>
    <w:rsid w:val="00F365FB"/>
    <w:rsid w:val="00F37395"/>
    <w:rsid w:val="00F4010A"/>
    <w:rsid w:val="00F42E45"/>
    <w:rsid w:val="00F431F7"/>
    <w:rsid w:val="00F4691D"/>
    <w:rsid w:val="00F57885"/>
    <w:rsid w:val="00F603E5"/>
    <w:rsid w:val="00F631C4"/>
    <w:rsid w:val="00F7112F"/>
    <w:rsid w:val="00F774A4"/>
    <w:rsid w:val="00F83CAE"/>
    <w:rsid w:val="00F8603C"/>
    <w:rsid w:val="00F97B27"/>
    <w:rsid w:val="00FA3F63"/>
    <w:rsid w:val="00FA7F57"/>
    <w:rsid w:val="00FB0A89"/>
    <w:rsid w:val="00FB1802"/>
    <w:rsid w:val="00FC5274"/>
    <w:rsid w:val="00FD349F"/>
    <w:rsid w:val="00FD4014"/>
    <w:rsid w:val="00FD52A9"/>
    <w:rsid w:val="00FD7792"/>
    <w:rsid w:val="00FD7DA1"/>
    <w:rsid w:val="00FE18BE"/>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6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 w:type="character" w:customStyle="1" w:styleId="Ttulo1Car">
    <w:name w:val="Título 1 Car"/>
    <w:basedOn w:val="Fuentedeprrafopredeter"/>
    <w:link w:val="Ttulo1"/>
    <w:uiPriority w:val="9"/>
    <w:rsid w:val="00B61766"/>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7B3A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7B3A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6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 w:type="character" w:customStyle="1" w:styleId="Ttulo1Car">
    <w:name w:val="Título 1 Car"/>
    <w:basedOn w:val="Fuentedeprrafopredeter"/>
    <w:link w:val="Ttulo1"/>
    <w:uiPriority w:val="9"/>
    <w:rsid w:val="00B61766"/>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7B3A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7B3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375689242">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package" Target="../embeddings/Microsoft_Excel_Worksheet2.xlsx"/><Relationship Id="rId1" Type="http://schemas.openxmlformats.org/officeDocument/2006/relationships/themeOverride" Target="../theme/themeOverride2.xml"/><Relationship Id="rId4" Type="http://schemas.microsoft.com/office/2011/relationships/chartStyle" Target="styl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package" Target="../embeddings/Microsoft_Excel_Worksheet5.xlsx"/><Relationship Id="rId1" Type="http://schemas.openxmlformats.org/officeDocument/2006/relationships/themeOverride" Target="../theme/themeOverride5.xml"/><Relationship Id="rId4" Type="http://schemas.microsoft.com/office/2011/relationships/chartStyle" Target="style2.xml"/></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openxmlformats.org/officeDocument/2006/relationships/package" Target="../embeddings/Microsoft_Excel_Worksheet6.xlsx"/><Relationship Id="rId1" Type="http://schemas.openxmlformats.org/officeDocument/2006/relationships/themeOverride" Target="../theme/themeOverride6.xml"/><Relationship Id="rId4" Type="http://schemas.microsoft.com/office/2011/relationships/chartStyle" Target="styl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ACF-469A-84F7-9D774EC98D2E}"/>
              </c:ext>
            </c:extLst>
          </c:dPt>
          <c:cat>
            <c:strRef>
              <c:f>Hoja1!$A$2:$A$3</c:f>
              <c:strCache>
                <c:ptCount val="2"/>
                <c:pt idx="0">
                  <c:v>Mujeres</c:v>
                </c:pt>
                <c:pt idx="1">
                  <c:v>Hombres</c:v>
                </c:pt>
              </c:strCache>
            </c:strRef>
          </c:cat>
          <c:val>
            <c:numRef>
              <c:f>Hoja1!$B$2:$B$3</c:f>
              <c:numCache>
                <c:formatCode>General</c:formatCode>
                <c:ptCount val="2"/>
                <c:pt idx="0">
                  <c:v>5</c:v>
                </c:pt>
                <c:pt idx="1">
                  <c:v>1</c:v>
                </c:pt>
              </c:numCache>
            </c:numRef>
          </c:val>
          <c:extLst xmlns:c16r2="http://schemas.microsoft.com/office/drawing/2015/06/char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187797504"/>
        <c:axId val="187799040"/>
      </c:barChart>
      <c:catAx>
        <c:axId val="187797504"/>
        <c:scaling>
          <c:orientation val="minMax"/>
        </c:scaling>
        <c:delete val="0"/>
        <c:axPos val="l"/>
        <c:numFmt formatCode="General" sourceLinked="1"/>
        <c:majorTickMark val="out"/>
        <c:minorTickMark val="none"/>
        <c:tickLblPos val="nextTo"/>
        <c:crossAx val="187799040"/>
        <c:crosses val="autoZero"/>
        <c:auto val="1"/>
        <c:lblAlgn val="ctr"/>
        <c:lblOffset val="100"/>
        <c:noMultiLvlLbl val="0"/>
      </c:catAx>
      <c:valAx>
        <c:axId val="187799040"/>
        <c:scaling>
          <c:orientation val="minMax"/>
        </c:scaling>
        <c:delete val="0"/>
        <c:axPos val="b"/>
        <c:majorGridlines/>
        <c:numFmt formatCode="General" sourceLinked="1"/>
        <c:majorTickMark val="out"/>
        <c:minorTickMark val="none"/>
        <c:tickLblPos val="nextTo"/>
        <c:crossAx val="187797504"/>
        <c:crosses val="autoZero"/>
        <c:crossBetween val="between"/>
      </c:valAx>
      <c:dTable>
        <c:showHorzBorder val="1"/>
        <c:showVertBorder val="1"/>
        <c:showOutline val="1"/>
        <c:showKeys val="1"/>
      </c:dTable>
    </c:plotArea>
    <c:legend>
      <c:legendPos val="r"/>
      <c:layout/>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3</c:v>
                </c:pt>
                <c:pt idx="1">
                  <c:v>1</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1</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228864384"/>
        <c:axId val="228865920"/>
      </c:barChart>
      <c:catAx>
        <c:axId val="228864384"/>
        <c:scaling>
          <c:orientation val="minMax"/>
        </c:scaling>
        <c:delete val="0"/>
        <c:axPos val="l"/>
        <c:numFmt formatCode="General" sourceLinked="1"/>
        <c:majorTickMark val="out"/>
        <c:minorTickMark val="none"/>
        <c:tickLblPos val="nextTo"/>
        <c:crossAx val="228865920"/>
        <c:crosses val="autoZero"/>
        <c:auto val="1"/>
        <c:lblAlgn val="ctr"/>
        <c:lblOffset val="100"/>
        <c:noMultiLvlLbl val="0"/>
      </c:catAx>
      <c:valAx>
        <c:axId val="228865920"/>
        <c:scaling>
          <c:orientation val="minMax"/>
        </c:scaling>
        <c:delete val="0"/>
        <c:axPos val="b"/>
        <c:majorGridlines/>
        <c:numFmt formatCode="General" sourceLinked="1"/>
        <c:majorTickMark val="out"/>
        <c:minorTickMark val="none"/>
        <c:tickLblPos val="nextTo"/>
        <c:crossAx val="228864384"/>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a:pPr>
            <a:r>
              <a:rPr lang="es-MX"/>
              <a:t>Canalizaciones</a:t>
            </a:r>
          </a:p>
        </c:rich>
      </c:tx>
      <c:layout/>
      <c:overlay val="0"/>
    </c:title>
    <c:autoTitleDeleted val="0"/>
    <c:plotArea>
      <c:layout/>
      <c:barChart>
        <c:barDir val="bar"/>
        <c:grouping val="clustered"/>
        <c:varyColors val="0"/>
        <c:ser>
          <c:idx val="0"/>
          <c:order val="0"/>
          <c:tx>
            <c:strRef>
              <c:f>Hoja1!$B$1</c:f>
              <c:strCache>
                <c:ptCount val="1"/>
                <c:pt idx="0">
                  <c:v>Canalización</c:v>
                </c:pt>
              </c:strCache>
            </c:strRef>
          </c:tx>
          <c:spPr>
            <a:solidFill>
              <a:srgbClr val="FFC000"/>
            </a:solidFill>
            <a:ln w="25404">
              <a:noFill/>
            </a:ln>
          </c:spPr>
          <c:invertIfNegative val="0"/>
          <c:cat>
            <c:strRef>
              <c:f>Hoja1!$A$2:$A$3</c:f>
              <c:strCache>
                <c:ptCount val="2"/>
                <c:pt idx="0">
                  <c:v>Orientación psicológica</c:v>
                </c:pt>
                <c:pt idx="1">
                  <c:v>Asesoría jurídica </c:v>
                </c:pt>
              </c:strCache>
            </c:strRef>
          </c:cat>
          <c:val>
            <c:numRef>
              <c:f>Hoja1!$B$2:$B$3</c:f>
              <c:numCache>
                <c:formatCode>General</c:formatCode>
                <c:ptCount val="2"/>
                <c:pt idx="0">
                  <c:v>4</c:v>
                </c:pt>
                <c:pt idx="1">
                  <c:v>2</c:v>
                </c:pt>
              </c:numCache>
            </c:numRef>
          </c:val>
          <c:extLst xmlns:c16r2="http://schemas.microsoft.com/office/drawing/2015/06/chart">
            <c:ext xmlns:c16="http://schemas.microsoft.com/office/drawing/2014/chart" uri="{C3380CC4-5D6E-409C-BE32-E72D297353CC}">
              <c16:uniqueId val="{00000000-3DD0-45C8-B8CF-A18F5CCC8AC4}"/>
            </c:ext>
          </c:extLst>
        </c:ser>
        <c:dLbls>
          <c:showLegendKey val="0"/>
          <c:showVal val="0"/>
          <c:showCatName val="0"/>
          <c:showSerName val="0"/>
          <c:showPercent val="0"/>
          <c:showBubbleSize val="0"/>
        </c:dLbls>
        <c:gapWidth val="150"/>
        <c:axId val="228982144"/>
        <c:axId val="236921984"/>
      </c:barChart>
      <c:catAx>
        <c:axId val="228982144"/>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36921984"/>
        <c:crosses val="autoZero"/>
        <c:auto val="1"/>
        <c:lblAlgn val="ctr"/>
        <c:lblOffset val="100"/>
        <c:noMultiLvlLbl val="0"/>
      </c:catAx>
      <c:valAx>
        <c:axId val="236921984"/>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228982144"/>
        <c:crosses val="autoZero"/>
        <c:crossBetween val="between"/>
        <c:majorUnit val="1"/>
      </c:valAx>
      <c:dTable>
        <c:showHorzBorder val="1"/>
        <c:showVertBorder val="1"/>
        <c:showOutline val="1"/>
        <c:showKeys val="1"/>
        <c:txPr>
          <a:bodyPr/>
          <a:lstStyle/>
          <a:p>
            <a:pPr rtl="0">
              <a:defRPr sz="801"/>
            </a:pPr>
            <a:endParaRPr lang="es-MX"/>
          </a:p>
        </c:txPr>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1-D955-431D-892B-80282DD98AD2}"/>
              </c:ext>
            </c:extLst>
          </c:dPt>
          <c:dPt>
            <c:idx val="1"/>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3-D955-431D-892B-80282DD98AD2}"/>
              </c:ext>
            </c:extLst>
          </c:dPt>
          <c:dPt>
            <c:idx val="2"/>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5-D955-431D-892B-80282DD98AD2}"/>
              </c:ext>
            </c:extLst>
          </c:dPt>
          <c:cat>
            <c:strRef>
              <c:f>Hoja1!$A$2:$A$3</c:f>
              <c:strCache>
                <c:ptCount val="2"/>
                <c:pt idx="0">
                  <c:v>Mujeres</c:v>
                </c:pt>
                <c:pt idx="1">
                  <c:v>Hombres</c:v>
                </c:pt>
              </c:strCache>
            </c:strRef>
          </c:cat>
          <c:val>
            <c:numRef>
              <c:f>Hoja1!$B$2:$B$3</c:f>
              <c:numCache>
                <c:formatCode>General</c:formatCode>
                <c:ptCount val="2"/>
                <c:pt idx="0">
                  <c:v>5</c:v>
                </c:pt>
                <c:pt idx="1">
                  <c:v>1</c:v>
                </c:pt>
              </c:numCache>
            </c:numRef>
          </c:val>
          <c:extLst xmlns:c16r2="http://schemas.microsoft.com/office/drawing/2015/06/char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187844480"/>
        <c:axId val="187846016"/>
      </c:barChart>
      <c:catAx>
        <c:axId val="187844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7846016"/>
        <c:crosses val="autoZero"/>
        <c:auto val="1"/>
        <c:lblAlgn val="ctr"/>
        <c:lblOffset val="100"/>
        <c:noMultiLvlLbl val="0"/>
      </c:catAx>
      <c:valAx>
        <c:axId val="187846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78444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3</c:v>
                </c:pt>
                <c:pt idx="2">
                  <c:v>0</c:v>
                </c:pt>
                <c:pt idx="3">
                  <c:v>0</c:v>
                </c:pt>
                <c:pt idx="4">
                  <c:v>2</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87860864"/>
        <c:axId val="187862400"/>
      </c:barChart>
      <c:catAx>
        <c:axId val="18786086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87862400"/>
        <c:crosses val="autoZero"/>
        <c:auto val="1"/>
        <c:lblAlgn val="ctr"/>
        <c:lblOffset val="100"/>
        <c:noMultiLvlLbl val="0"/>
      </c:catAx>
      <c:valAx>
        <c:axId val="187862400"/>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87860864"/>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88065664"/>
        <c:axId val="188067200"/>
      </c:barChart>
      <c:catAx>
        <c:axId val="188065664"/>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88067200"/>
        <c:crosses val="autoZero"/>
        <c:auto val="1"/>
        <c:lblAlgn val="ctr"/>
        <c:lblOffset val="100"/>
        <c:noMultiLvlLbl val="0"/>
      </c:catAx>
      <c:valAx>
        <c:axId val="188067200"/>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88065664"/>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layout/>
      <c:overlay val="0"/>
      <c:spPr>
        <a:noFill/>
        <a:ln>
          <a:noFill/>
        </a:ln>
        <a:effectLst/>
      </c:sp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San Martín de Hidalgo</c:v>
                </c:pt>
                <c:pt idx="1">
                  <c:v>La Labor de Medina</c:v>
                </c:pt>
                <c:pt idx="2">
                  <c:v>San Gerónimo </c:v>
                </c:pt>
                <c:pt idx="3">
                  <c:v>Río Grande</c:v>
                </c:pt>
                <c:pt idx="4">
                  <c:v>Crucero de Santa María</c:v>
                </c:pt>
              </c:strCache>
            </c:strRef>
          </c:cat>
          <c:val>
            <c:numRef>
              <c:f>Hoja1!$B$2:$B$6</c:f>
              <c:numCache>
                <c:formatCode>General</c:formatCode>
                <c:ptCount val="5"/>
                <c:pt idx="0">
                  <c:v>1</c:v>
                </c:pt>
                <c:pt idx="1">
                  <c:v>1</c:v>
                </c:pt>
                <c:pt idx="2">
                  <c:v>1</c:v>
                </c:pt>
                <c:pt idx="3">
                  <c:v>1</c:v>
                </c:pt>
                <c:pt idx="4">
                  <c:v>0</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San Martín de Hidalgo</c:v>
                </c:pt>
                <c:pt idx="1">
                  <c:v>La Labor de Medina</c:v>
                </c:pt>
                <c:pt idx="2">
                  <c:v>San Gerónimo </c:v>
                </c:pt>
                <c:pt idx="3">
                  <c:v>Río Grande</c:v>
                </c:pt>
                <c:pt idx="4">
                  <c:v>Crucero de Santa María</c:v>
                </c:pt>
              </c:strCache>
            </c:strRef>
          </c:cat>
          <c:val>
            <c:numRef>
              <c:f>Hoja1!$C$2:$C$6</c:f>
              <c:numCache>
                <c:formatCode>General</c:formatCode>
                <c:ptCount val="5"/>
                <c:pt idx="0">
                  <c:v>0</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187886208"/>
        <c:axId val="188305792"/>
      </c:barChart>
      <c:catAx>
        <c:axId val="187886208"/>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88305792"/>
        <c:crosses val="autoZero"/>
        <c:auto val="1"/>
        <c:lblAlgn val="ctr"/>
        <c:lblOffset val="100"/>
        <c:noMultiLvlLbl val="0"/>
      </c:catAx>
      <c:valAx>
        <c:axId val="188305792"/>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87886208"/>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1</c:v>
                </c:pt>
                <c:pt idx="1">
                  <c:v>0</c:v>
                </c:pt>
                <c:pt idx="2">
                  <c:v>2</c:v>
                </c:pt>
                <c:pt idx="3">
                  <c:v>1</c:v>
                </c:pt>
                <c:pt idx="4">
                  <c:v>1</c:v>
                </c:pt>
                <c:pt idx="5">
                  <c:v>0</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188349440"/>
        <c:axId val="188519168"/>
      </c:barChart>
      <c:catAx>
        <c:axId val="188349440"/>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88519168"/>
        <c:crosses val="autoZero"/>
        <c:auto val="1"/>
        <c:lblAlgn val="ctr"/>
        <c:lblOffset val="100"/>
        <c:noMultiLvlLbl val="0"/>
      </c:catAx>
      <c:valAx>
        <c:axId val="188519168"/>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88349440"/>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Comerciante</c:v>
                </c:pt>
                <c:pt idx="5">
                  <c:v>Jubulada</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Comerciante</c:v>
                </c:pt>
                <c:pt idx="5">
                  <c:v>Jubulada</c:v>
                </c:pt>
              </c:strCache>
            </c:strRef>
          </c:cat>
          <c:val>
            <c:numRef>
              <c:f>Hoja1!$C$2:$C$7</c:f>
              <c:numCache>
                <c:formatCode>General</c:formatCode>
                <c:ptCount val="6"/>
                <c:pt idx="0">
                  <c:v>1</c:v>
                </c:pt>
                <c:pt idx="1">
                  <c:v>3</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Hoja1!$A$2:$A$7</c:f>
              <c:strCache>
                <c:ptCount val="6"/>
                <c:pt idx="0">
                  <c:v>Hogar </c:v>
                </c:pt>
                <c:pt idx="1">
                  <c:v>Empleada/o</c:v>
                </c:pt>
                <c:pt idx="2">
                  <c:v>Comerciante</c:v>
                </c:pt>
                <c:pt idx="3">
                  <c:v>Estudiante</c:v>
                </c:pt>
                <c:pt idx="4">
                  <c:v>Comerciante</c:v>
                </c:pt>
                <c:pt idx="5">
                  <c:v>Jubulada</c:v>
                </c:pt>
              </c:strCache>
            </c:strRef>
          </c:cat>
          <c:val>
            <c:numRef>
              <c:f>Hoja1!$D$2:$D$7</c:f>
              <c:numCache>
                <c:formatCode>General</c:formatCode>
                <c:ptCount val="6"/>
                <c:pt idx="0">
                  <c:v>0</c:v>
                </c:pt>
                <c:pt idx="1">
                  <c:v>1</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188662144"/>
        <c:axId val="188663680"/>
      </c:barChart>
      <c:catAx>
        <c:axId val="188662144"/>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188663680"/>
        <c:crosses val="autoZero"/>
        <c:auto val="1"/>
        <c:lblAlgn val="ctr"/>
        <c:lblOffset val="100"/>
        <c:noMultiLvlLbl val="0"/>
      </c:catAx>
      <c:valAx>
        <c:axId val="188663680"/>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188662144"/>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3</c:v>
                </c:pt>
                <c:pt idx="1">
                  <c:v>1</c:v>
                </c:pt>
                <c:pt idx="2">
                  <c:v>0</c:v>
                </c:pt>
                <c:pt idx="3">
                  <c:v>1</c:v>
                </c:pt>
                <c:pt idx="4">
                  <c:v>0</c:v>
                </c:pt>
              </c:numCache>
            </c:numRef>
          </c:val>
          <c:extLst xmlns:c16r2="http://schemas.microsoft.com/office/drawing/2015/06/char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209207296"/>
        <c:axId val="209208832"/>
      </c:barChart>
      <c:catAx>
        <c:axId val="209207296"/>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09208832"/>
        <c:crosses val="autoZero"/>
        <c:auto val="1"/>
        <c:lblAlgn val="ctr"/>
        <c:lblOffset val="100"/>
        <c:noMultiLvlLbl val="0"/>
      </c:catAx>
      <c:valAx>
        <c:axId val="209208832"/>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209207296"/>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Hoja1!$C$2:$C$7</c:f>
              <c:numCache>
                <c:formatCode>General</c:formatCode>
                <c:ptCount val="6"/>
                <c:pt idx="0">
                  <c:v>4</c:v>
                </c:pt>
                <c:pt idx="1">
                  <c:v>1</c:v>
                </c:pt>
                <c:pt idx="2">
                  <c:v>2</c:v>
                </c:pt>
                <c:pt idx="3">
                  <c:v>0</c:v>
                </c:pt>
                <c:pt idx="4">
                  <c:v>0</c:v>
                </c:pt>
                <c:pt idx="5">
                  <c:v>0</c:v>
                </c:pt>
              </c:numCache>
            </c:numRef>
          </c:val>
          <c:extLst xmlns:c16r2="http://schemas.microsoft.com/office/drawing/2015/06/char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Hoja1!$D$2:$D$7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228684928"/>
        <c:axId val="228686464"/>
      </c:barChart>
      <c:catAx>
        <c:axId val="228684928"/>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228686464"/>
        <c:crosses val="autoZero"/>
        <c:auto val="1"/>
        <c:lblAlgn val="ctr"/>
        <c:lblOffset val="100"/>
        <c:noMultiLvlLbl val="0"/>
      </c:catAx>
      <c:valAx>
        <c:axId val="228686464"/>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228684928"/>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E641B-05BC-4FA3-8B8E-E3FE80F9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1586</Words>
  <Characters>8728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 </cp:lastModifiedBy>
  <cp:revision>2</cp:revision>
  <dcterms:created xsi:type="dcterms:W3CDTF">2018-12-21T18:39:00Z</dcterms:created>
  <dcterms:modified xsi:type="dcterms:W3CDTF">2018-12-21T18:39:00Z</dcterms:modified>
</cp:coreProperties>
</file>